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F3" w:rsidRDefault="006F3FF3" w:rsidP="006F3FF3">
      <w:pPr>
        <w:pStyle w:val="2"/>
        <w:jc w:val="center"/>
      </w:pPr>
      <w:r>
        <w:rPr>
          <w:rFonts w:hint="eastAsia"/>
        </w:rPr>
        <w:t>第四章</w:t>
      </w:r>
      <w:r w:rsidR="00556222">
        <w:rPr>
          <w:rFonts w:hint="eastAsia"/>
        </w:rPr>
        <w:t xml:space="preserve"> </w:t>
      </w:r>
      <w:r>
        <w:rPr>
          <w:rFonts w:hint="eastAsia"/>
        </w:rPr>
        <w:t>采购需求</w:t>
      </w:r>
    </w:p>
    <w:p w:rsidR="006F3FF3" w:rsidRDefault="006F3FF3" w:rsidP="006F3FF3">
      <w:pPr>
        <w:pStyle w:val="00"/>
        <w:ind w:firstLineChars="196" w:firstLine="470"/>
        <w:rPr>
          <w:rFonts w:ascii="宋体" w:hAnsi="宋体"/>
          <w:sz w:val="24"/>
          <w:szCs w:val="24"/>
        </w:rPr>
      </w:pPr>
      <w:r>
        <w:rPr>
          <w:rFonts w:ascii="宋体" w:hAnsi="宋体" w:hint="eastAsia"/>
          <w:sz w:val="24"/>
          <w:szCs w:val="24"/>
        </w:rPr>
        <w:t>注：1、以下《采购需求说明》及《采购需求一览表》所列内容为招标人（采购人）所提招标（采购）需求，投标人（供应商）应认真仔细研究，投标时应慎重选择相应符合要求的服务进行投标。</w:t>
      </w:r>
    </w:p>
    <w:p w:rsidR="006F3FF3" w:rsidRDefault="006F3FF3" w:rsidP="006F3FF3">
      <w:pPr>
        <w:pStyle w:val="00"/>
        <w:ind w:firstLineChars="196" w:firstLine="470"/>
        <w:rPr>
          <w:rFonts w:ascii="宋体" w:hAnsi="宋体"/>
          <w:sz w:val="24"/>
          <w:szCs w:val="24"/>
        </w:rPr>
      </w:pPr>
      <w:r>
        <w:rPr>
          <w:rFonts w:ascii="宋体" w:hAnsi="宋体" w:hint="eastAsia"/>
          <w:sz w:val="24"/>
          <w:szCs w:val="24"/>
        </w:rPr>
        <w:t>2、标有“*”的参数为实质性参数，必须满足，否则其投标无效。</w:t>
      </w:r>
    </w:p>
    <w:p w:rsidR="006F3FF3" w:rsidRDefault="006F3FF3" w:rsidP="006F3FF3">
      <w:pPr>
        <w:pStyle w:val="00"/>
        <w:ind w:firstLineChars="196" w:firstLine="470"/>
        <w:rPr>
          <w:rFonts w:ascii="宋体" w:hAnsi="宋体"/>
          <w:sz w:val="24"/>
          <w:szCs w:val="24"/>
        </w:rPr>
      </w:pPr>
      <w:r>
        <w:rPr>
          <w:rFonts w:ascii="宋体" w:hAnsi="宋体" w:hint="eastAsia"/>
          <w:sz w:val="24"/>
          <w:szCs w:val="24"/>
        </w:rPr>
        <w:t>3、本项目招标文件通用部分第四章中“投标文件格式”内容应根据项目需要和评标办法规定填写；如不需要，则填写无。</w:t>
      </w:r>
    </w:p>
    <w:p w:rsidR="006F3FF3" w:rsidRDefault="006F3FF3" w:rsidP="006F3FF3">
      <w:pPr>
        <w:pStyle w:val="00"/>
        <w:ind w:firstLineChars="196" w:firstLine="470"/>
        <w:rPr>
          <w:rFonts w:ascii="宋体" w:hAnsi="宋体"/>
          <w:sz w:val="24"/>
          <w:szCs w:val="24"/>
        </w:rPr>
      </w:pPr>
      <w:r>
        <w:rPr>
          <w:rFonts w:ascii="宋体" w:hAnsi="宋体" w:hint="eastAsia"/>
          <w:sz w:val="24"/>
          <w:szCs w:val="24"/>
        </w:rPr>
        <w:t>4、投标人对本项目免费维保期满后每年维护服务报价（年报价）不得超过投标报价的</w:t>
      </w:r>
      <w:r>
        <w:rPr>
          <w:rFonts w:ascii="宋体" w:hAnsi="宋体" w:hint="eastAsia"/>
          <w:sz w:val="24"/>
          <w:szCs w:val="24"/>
          <w:u w:val="single"/>
        </w:rPr>
        <w:t>这需要明确</w:t>
      </w:r>
      <w:r>
        <w:rPr>
          <w:rFonts w:ascii="宋体" w:hAnsi="宋体" w:hint="eastAsia"/>
          <w:sz w:val="24"/>
          <w:szCs w:val="24"/>
        </w:rPr>
        <w:t>%。（仅适用于B4类评标办法）</w:t>
      </w:r>
    </w:p>
    <w:p w:rsidR="006F3FF3" w:rsidRDefault="006F3FF3" w:rsidP="006F3FF3">
      <w:pPr>
        <w:pStyle w:val="00"/>
        <w:ind w:firstLineChars="196" w:firstLine="470"/>
        <w:rPr>
          <w:rFonts w:ascii="宋体" w:hAnsi="宋体"/>
          <w:sz w:val="24"/>
          <w:szCs w:val="24"/>
        </w:rPr>
      </w:pPr>
      <w:r>
        <w:rPr>
          <w:rFonts w:ascii="宋体" w:hAnsi="宋体" w:hint="eastAsia"/>
          <w:sz w:val="24"/>
          <w:szCs w:val="24"/>
        </w:rPr>
        <w:t>5、中标人和采购人签订的合同应与招标文件中的采购合同一致，不得另行签订与采购合同相背离的其他合同。</w:t>
      </w:r>
    </w:p>
    <w:p w:rsidR="006F3FF3" w:rsidRDefault="006F3FF3" w:rsidP="006F3FF3">
      <w:pPr>
        <w:pStyle w:val="00"/>
        <w:ind w:firstLineChars="196" w:firstLine="470"/>
        <w:rPr>
          <w:rFonts w:ascii="宋体" w:hAnsi="宋体"/>
          <w:sz w:val="24"/>
          <w:szCs w:val="24"/>
        </w:rPr>
      </w:pPr>
      <w:r>
        <w:rPr>
          <w:rFonts w:ascii="宋体" w:hAnsi="宋体" w:hint="eastAsia"/>
          <w:sz w:val="24"/>
          <w:szCs w:val="24"/>
        </w:rPr>
        <w:t>6、下列《采购需求一览表》中：标注▲的服务，投标供应商在投标文件《主要成交标的承诺函》中填写服务项目名称、服务要求简述、数量、单价等信息，承诺函经评标委员会评审认可后随评审结果一并公示，如投标文件中未提供、提供不全将可能导致投标无效。采购人（采购代理机构）在编制招标文件时必须将采购的主要产品(包括核心产品)标注“▲”。按照招标文件要求，标注 “▲”号的产品，投标人必须在“主要成交标的承诺函中”填写该产品的名称规格、型号、数量、单价等具体信息。</w:t>
      </w:r>
    </w:p>
    <w:p w:rsidR="006F3FF3" w:rsidRDefault="006F3FF3" w:rsidP="006F3FF3">
      <w:pPr>
        <w:pStyle w:val="00"/>
        <w:ind w:firstLineChars="196" w:firstLine="470"/>
        <w:rPr>
          <w:rFonts w:ascii="宋体" w:hAnsi="宋体"/>
          <w:sz w:val="24"/>
          <w:szCs w:val="24"/>
        </w:rPr>
      </w:pPr>
    </w:p>
    <w:p w:rsidR="006F3FF3" w:rsidRDefault="006F3FF3" w:rsidP="006F3FF3">
      <w:pPr>
        <w:pStyle w:val="00"/>
        <w:ind w:firstLineChars="196" w:firstLine="470"/>
        <w:rPr>
          <w:rFonts w:ascii="宋体" w:hAnsi="宋体"/>
          <w:sz w:val="24"/>
          <w:szCs w:val="24"/>
        </w:rPr>
      </w:pPr>
    </w:p>
    <w:p w:rsidR="006F3FF3" w:rsidRDefault="006F3FF3" w:rsidP="006F3FF3">
      <w:pPr>
        <w:pStyle w:val="00"/>
        <w:ind w:firstLineChars="196" w:firstLine="470"/>
        <w:jc w:val="center"/>
        <w:rPr>
          <w:rFonts w:ascii="宋体" w:hAnsi="宋体"/>
          <w:sz w:val="24"/>
          <w:szCs w:val="24"/>
        </w:rPr>
      </w:pPr>
      <w:r>
        <w:rPr>
          <w:rFonts w:ascii="宋体" w:hAnsi="宋体" w:hint="eastAsia"/>
          <w:sz w:val="24"/>
          <w:szCs w:val="24"/>
        </w:rPr>
        <w:t>采购需求说明</w:t>
      </w:r>
    </w:p>
    <w:p w:rsidR="006F3FF3" w:rsidRDefault="006F3FF3" w:rsidP="006F3FF3">
      <w:pPr>
        <w:rPr>
          <w:rFonts w:ascii="宋体" w:hAnsi="宋体"/>
          <w:sz w:val="24"/>
          <w:szCs w:val="24"/>
        </w:rPr>
      </w:pPr>
      <w:r>
        <w:rPr>
          <w:rFonts w:ascii="宋体" w:hAnsi="宋体" w:hint="eastAsia"/>
          <w:sz w:val="24"/>
          <w:szCs w:val="24"/>
        </w:rPr>
        <w:t>前注：</w:t>
      </w:r>
    </w:p>
    <w:p w:rsidR="006F3FF3" w:rsidRDefault="006F3FF3" w:rsidP="006F3FF3">
      <w:pPr>
        <w:ind w:firstLineChars="200" w:firstLine="480"/>
        <w:rPr>
          <w:rFonts w:ascii="宋体" w:hAnsi="宋体"/>
          <w:sz w:val="24"/>
          <w:szCs w:val="24"/>
        </w:rPr>
      </w:pPr>
      <w:r>
        <w:rPr>
          <w:rFonts w:ascii="宋体" w:hAnsi="宋体" w:hint="eastAsia"/>
          <w:sz w:val="24"/>
          <w:szCs w:val="24"/>
        </w:rPr>
        <w:t>1、本采购需求中提出的服务方案仅为参考，如无明确限制，投标供应商可以进行优化，提供满足采购人实际需要的更优（或者性能实质上不低于的）服务方案，且此方案须经评标委员会评审认可；</w:t>
      </w:r>
    </w:p>
    <w:p w:rsidR="006F3FF3" w:rsidRDefault="006F3FF3" w:rsidP="006F3FF3">
      <w:pPr>
        <w:ind w:firstLineChars="200" w:firstLine="480"/>
        <w:rPr>
          <w:rFonts w:ascii="宋体" w:hAnsi="宋体"/>
          <w:sz w:val="24"/>
          <w:szCs w:val="24"/>
        </w:rPr>
      </w:pPr>
      <w:r>
        <w:rPr>
          <w:rFonts w:ascii="宋体" w:hAnsi="宋体" w:hint="eastAsia"/>
          <w:sz w:val="24"/>
          <w:szCs w:val="24"/>
        </w:rPr>
        <w:t>2、中标供应商必须确保整体通过采购人及有关主管部门验收，所发生的验收费用由中标供应商承担；投标供应商应自行勘察项目现场，如投标供应商因未及时勘察现场而导致的报价缺项漏项废标、或中标后无法完工，投标供应商自行承担一切后果；</w:t>
      </w:r>
    </w:p>
    <w:p w:rsidR="006F3FF3" w:rsidRDefault="006F3FF3" w:rsidP="006F3FF3">
      <w:pPr>
        <w:ind w:firstLineChars="200" w:firstLine="480"/>
        <w:rPr>
          <w:rFonts w:ascii="宋体" w:hAnsi="宋体"/>
          <w:sz w:val="24"/>
          <w:szCs w:val="24"/>
        </w:rPr>
      </w:pPr>
      <w:r>
        <w:rPr>
          <w:rFonts w:ascii="宋体" w:hAnsi="宋体" w:hint="eastAsia"/>
          <w:sz w:val="24"/>
          <w:szCs w:val="24"/>
        </w:rPr>
        <w:t>3、如对本招标文件有任何疑问或澄清要求，请按本招标文件“投标供应商须知前附表”中约定方式联系芜湖市政府采购中心，或接受答疑截止时间前联系采购人，否则视同理解和接受，投标供应商对招标文件、采购过程、中标结果的质疑，应当在法定质疑期内一次性提出针对同一采购程序环节的质疑。</w:t>
      </w:r>
    </w:p>
    <w:p w:rsidR="006F3FF3" w:rsidRDefault="006F3FF3" w:rsidP="006F3FF3">
      <w:pPr>
        <w:rPr>
          <w:rFonts w:ascii="宋体" w:hAnsi="宋体"/>
          <w:sz w:val="24"/>
          <w:szCs w:val="24"/>
        </w:rPr>
      </w:pPr>
      <w:r>
        <w:rPr>
          <w:rFonts w:ascii="宋体" w:hAnsi="宋体" w:hint="eastAsia"/>
          <w:sz w:val="24"/>
          <w:szCs w:val="24"/>
        </w:rPr>
        <w:t>（一）总体目标</w:t>
      </w:r>
    </w:p>
    <w:p w:rsidR="006F3FF3" w:rsidRDefault="006F3FF3" w:rsidP="006F3FF3">
      <w:pPr>
        <w:ind w:firstLineChars="200" w:firstLine="480"/>
        <w:rPr>
          <w:rFonts w:ascii="宋体" w:hAnsi="宋体"/>
          <w:sz w:val="24"/>
          <w:szCs w:val="24"/>
        </w:rPr>
      </w:pPr>
      <w:r>
        <w:rPr>
          <w:rFonts w:ascii="宋体" w:hAnsi="宋体" w:hint="eastAsia"/>
          <w:sz w:val="24"/>
          <w:szCs w:val="24"/>
        </w:rPr>
        <w:t>按照自然资源部和省自然资源厅有关要求，结合芜湖市经济发展需求和土地市场供需的实际情况，对现行芜湖市区（不含湾沚区和繁昌区，下同）城镇基准地价进行更新、制定芜湖市市区集体建设用地和农用地基准地价，完善芜湖市市区公示地价体系。</w:t>
      </w:r>
    </w:p>
    <w:p w:rsidR="006F3FF3" w:rsidRDefault="006F3FF3" w:rsidP="006F3FF3">
      <w:pPr>
        <w:rPr>
          <w:rFonts w:ascii="宋体" w:hAnsi="宋体"/>
          <w:sz w:val="24"/>
          <w:szCs w:val="24"/>
        </w:rPr>
      </w:pPr>
      <w:r>
        <w:rPr>
          <w:rFonts w:ascii="宋体" w:hAnsi="宋体" w:hint="eastAsia"/>
          <w:sz w:val="24"/>
          <w:szCs w:val="24"/>
        </w:rPr>
        <w:t>（二）工作内容</w:t>
      </w:r>
    </w:p>
    <w:p w:rsidR="006F3FF3" w:rsidRDefault="006F3FF3" w:rsidP="006F3FF3">
      <w:pPr>
        <w:ind w:firstLineChars="200" w:firstLine="480"/>
        <w:rPr>
          <w:rFonts w:ascii="宋体" w:hAnsi="宋体"/>
          <w:sz w:val="24"/>
          <w:szCs w:val="24"/>
        </w:rPr>
      </w:pPr>
      <w:r>
        <w:rPr>
          <w:rFonts w:ascii="宋体" w:hAnsi="宋体" w:hint="eastAsia"/>
          <w:sz w:val="24"/>
          <w:szCs w:val="24"/>
        </w:rPr>
        <w:t>1.根据《城镇土地分等定级规程》（GB/T18507-2014）要求，采用地理信息系统等技术手段，对影响芜湖市区土地质量的各种经济、社会、自然因素等进行分析，划分土地级别，完成芜湖市区城镇商服用地、住宅用地、工业用地、公共</w:t>
      </w:r>
      <w:r>
        <w:rPr>
          <w:rFonts w:ascii="宋体" w:hAnsi="宋体" w:hint="eastAsia"/>
          <w:sz w:val="24"/>
          <w:szCs w:val="24"/>
        </w:rPr>
        <w:lastRenderedPageBreak/>
        <w:t>管理和公共服务用地及集体建设用地的土地定级工作；根据《农用地定级规程》（GB/T28405-2012）要求，采用地理信息系统等技术手段，对影响农用地的自然因素、社会经济因素及区位因素进行分析，划分土地级别，完成芜湖市市区农用地的土地定级工作。</w:t>
      </w:r>
    </w:p>
    <w:p w:rsidR="006F3FF3" w:rsidRDefault="006F3FF3" w:rsidP="006F3FF3">
      <w:pPr>
        <w:ind w:firstLineChars="200" w:firstLine="480"/>
        <w:rPr>
          <w:rFonts w:ascii="宋体" w:hAnsi="宋体"/>
          <w:sz w:val="24"/>
          <w:szCs w:val="24"/>
        </w:rPr>
      </w:pPr>
      <w:r>
        <w:rPr>
          <w:rFonts w:ascii="宋体" w:hAnsi="宋体" w:hint="eastAsia"/>
          <w:sz w:val="24"/>
          <w:szCs w:val="24"/>
        </w:rPr>
        <w:t>2.根据《城镇土地估价规程》（GB/T18508-2014）要求，完成芜湖市市区城镇商服用地、住宅用地、工业用地、公共管理和公共服务用地基准地价更新评估工作及集体建设用地基准地价制定工作；根据《农用地估价规程》（GB/T28406-2012）要求，完成芜湖市市区农用地基准地价制定工作。</w:t>
      </w:r>
    </w:p>
    <w:p w:rsidR="006F3FF3" w:rsidRDefault="006F3FF3" w:rsidP="006F3FF3">
      <w:pPr>
        <w:ind w:firstLineChars="200" w:firstLine="480"/>
        <w:rPr>
          <w:rFonts w:ascii="宋体" w:eastAsia="仿宋" w:hAnsi="宋体"/>
          <w:sz w:val="24"/>
          <w:szCs w:val="24"/>
        </w:rPr>
      </w:pPr>
      <w:r>
        <w:rPr>
          <w:rFonts w:ascii="宋体" w:hAnsi="宋体" w:hint="eastAsia"/>
          <w:sz w:val="24"/>
          <w:szCs w:val="24"/>
        </w:rPr>
        <w:t>3.在定级估价的基础上，建立芜湖市市区城镇商服用地、住宅用地、工业用地、公共管理和公共服务用地、集体建设用地、芜湖市市区农用地地价样点数据库；编制基准地价修正体系。</w:t>
      </w:r>
    </w:p>
    <w:p w:rsidR="006F3FF3" w:rsidRDefault="006F3FF3" w:rsidP="006F3FF3">
      <w:pPr>
        <w:rPr>
          <w:rFonts w:ascii="宋体" w:hAnsi="宋体"/>
          <w:sz w:val="24"/>
          <w:szCs w:val="24"/>
        </w:rPr>
      </w:pPr>
      <w:r>
        <w:rPr>
          <w:rFonts w:ascii="宋体" w:hAnsi="宋体" w:hint="eastAsia"/>
          <w:sz w:val="24"/>
          <w:szCs w:val="24"/>
        </w:rPr>
        <w:t>（三）基准期日和完成时限</w:t>
      </w:r>
    </w:p>
    <w:p w:rsidR="006F3FF3" w:rsidRDefault="006F3FF3" w:rsidP="006F3FF3">
      <w:pPr>
        <w:ind w:firstLineChars="200" w:firstLine="480"/>
        <w:rPr>
          <w:rFonts w:ascii="宋体" w:hAnsi="宋体"/>
          <w:sz w:val="24"/>
          <w:szCs w:val="24"/>
        </w:rPr>
      </w:pPr>
      <w:r>
        <w:rPr>
          <w:rFonts w:ascii="宋体" w:hAnsi="宋体" w:hint="eastAsia"/>
          <w:sz w:val="24"/>
          <w:szCs w:val="24"/>
        </w:rPr>
        <w:t>本次基准地价评估以2021年1月1日为基准期日。</w:t>
      </w:r>
    </w:p>
    <w:p w:rsidR="006F3FF3" w:rsidRDefault="006F3FF3" w:rsidP="006F3FF3">
      <w:pPr>
        <w:ind w:firstLineChars="200" w:firstLine="480"/>
        <w:rPr>
          <w:rFonts w:ascii="宋体" w:hAnsi="宋体"/>
          <w:sz w:val="24"/>
          <w:szCs w:val="24"/>
        </w:rPr>
      </w:pPr>
      <w:r>
        <w:rPr>
          <w:rFonts w:ascii="宋体" w:hAnsi="宋体" w:hint="eastAsia"/>
          <w:sz w:val="24"/>
          <w:szCs w:val="24"/>
        </w:rPr>
        <w:t>根据《安徽省自然资源厅关于2021年度地价工作的通知》（皖自然资用函〔2021〕18号）和《自然资源部办公厅关于部署开展2020年度自然资源评价评估工作的通知》（自然资办发[2020]23号）要求，2021年5月31日前完成芜湖市区城镇基准地价进行更新、芜湖市市区集体建设用地和农用地基准地价制定，若上级部门对时限有新的要求则以上级部门时限要求为准。</w:t>
      </w:r>
    </w:p>
    <w:p w:rsidR="006F3FF3" w:rsidRDefault="006F3FF3" w:rsidP="006F3FF3">
      <w:pPr>
        <w:rPr>
          <w:rFonts w:ascii="宋体" w:hAnsi="宋体"/>
          <w:sz w:val="24"/>
          <w:szCs w:val="24"/>
        </w:rPr>
      </w:pPr>
      <w:r>
        <w:rPr>
          <w:rFonts w:ascii="宋体" w:hAnsi="宋体" w:hint="eastAsia"/>
          <w:sz w:val="24"/>
          <w:szCs w:val="24"/>
        </w:rPr>
        <w:t>（四）工作成果要求</w:t>
      </w:r>
    </w:p>
    <w:p w:rsidR="006F3FF3" w:rsidRDefault="006F3FF3" w:rsidP="006F3FF3">
      <w:pPr>
        <w:ind w:firstLineChars="200" w:firstLine="480"/>
        <w:rPr>
          <w:rFonts w:ascii="宋体" w:hAnsi="宋体"/>
          <w:sz w:val="24"/>
          <w:szCs w:val="24"/>
        </w:rPr>
      </w:pPr>
      <w:r>
        <w:rPr>
          <w:rFonts w:ascii="宋体" w:hAnsi="宋体" w:hint="eastAsia"/>
          <w:sz w:val="24"/>
          <w:szCs w:val="24"/>
        </w:rPr>
        <w:t>本次芜湖市区城镇基准地价更新、芜湖市市区集体建设用地和农用地基准地价制定工作提交成果包括：文字报告、图件成果、表格成果、电子数据成果等（包含土地定级因素因子，样点地价等初始资料和阶段性成果）。最终成果以自然资源部和省厅要求为准。</w:t>
      </w:r>
    </w:p>
    <w:p w:rsidR="006F3FF3" w:rsidRDefault="006F3FF3" w:rsidP="006F3FF3">
      <w:pPr>
        <w:rPr>
          <w:rFonts w:ascii="宋体" w:hAnsi="宋体"/>
          <w:sz w:val="24"/>
          <w:szCs w:val="24"/>
        </w:rPr>
      </w:pPr>
      <w:r>
        <w:rPr>
          <w:rFonts w:ascii="宋体" w:hAnsi="宋体" w:hint="eastAsia"/>
          <w:sz w:val="24"/>
          <w:szCs w:val="24"/>
        </w:rPr>
        <w:t>1.文字报告</w:t>
      </w:r>
    </w:p>
    <w:p w:rsidR="006F3FF3" w:rsidRDefault="006F3FF3" w:rsidP="006F3FF3">
      <w:pPr>
        <w:rPr>
          <w:rFonts w:ascii="宋体" w:hAnsi="宋体"/>
          <w:sz w:val="24"/>
          <w:szCs w:val="24"/>
        </w:rPr>
      </w:pPr>
      <w:r>
        <w:rPr>
          <w:rFonts w:ascii="宋体" w:hAnsi="宋体" w:hint="eastAsia"/>
          <w:sz w:val="24"/>
          <w:szCs w:val="24"/>
        </w:rPr>
        <w:t>（1）《芜湖市市区城镇土地定级与基准地价评估工作报告》</w:t>
      </w:r>
    </w:p>
    <w:p w:rsidR="006F3FF3" w:rsidRDefault="006F3FF3" w:rsidP="006F3FF3">
      <w:pPr>
        <w:rPr>
          <w:rFonts w:ascii="宋体" w:hAnsi="宋体"/>
          <w:sz w:val="24"/>
          <w:szCs w:val="24"/>
        </w:rPr>
      </w:pPr>
      <w:r>
        <w:rPr>
          <w:rFonts w:ascii="宋体" w:hAnsi="宋体" w:hint="eastAsia"/>
          <w:sz w:val="24"/>
          <w:szCs w:val="24"/>
        </w:rPr>
        <w:t>（2）《芜湖市市区城镇土地定级与基准地价评估技术报告》</w:t>
      </w:r>
    </w:p>
    <w:p w:rsidR="006F3FF3" w:rsidRDefault="006F3FF3" w:rsidP="006F3FF3">
      <w:pPr>
        <w:rPr>
          <w:rFonts w:ascii="宋体" w:hAnsi="宋体"/>
          <w:sz w:val="24"/>
          <w:szCs w:val="24"/>
        </w:rPr>
      </w:pPr>
      <w:r>
        <w:rPr>
          <w:rFonts w:ascii="宋体" w:hAnsi="宋体" w:hint="eastAsia"/>
          <w:sz w:val="24"/>
          <w:szCs w:val="24"/>
        </w:rPr>
        <w:t>（3）《芜湖市市区集体建设用地土地定级与基准地价评估工作报告》</w:t>
      </w:r>
    </w:p>
    <w:p w:rsidR="006F3FF3" w:rsidRDefault="006F3FF3" w:rsidP="006F3FF3">
      <w:pPr>
        <w:rPr>
          <w:rFonts w:ascii="宋体" w:hAnsi="宋体"/>
          <w:sz w:val="24"/>
          <w:szCs w:val="24"/>
        </w:rPr>
      </w:pPr>
      <w:r>
        <w:rPr>
          <w:rFonts w:ascii="宋体" w:hAnsi="宋体" w:hint="eastAsia"/>
          <w:sz w:val="24"/>
          <w:szCs w:val="24"/>
        </w:rPr>
        <w:t>（4）《芜湖市市区集体建设用地土地定级与基准地价评估技术报告》</w:t>
      </w:r>
    </w:p>
    <w:p w:rsidR="006F3FF3" w:rsidRDefault="006F3FF3" w:rsidP="006F3FF3">
      <w:pPr>
        <w:rPr>
          <w:rFonts w:ascii="宋体" w:hAnsi="宋体"/>
          <w:sz w:val="24"/>
          <w:szCs w:val="24"/>
        </w:rPr>
      </w:pPr>
      <w:r>
        <w:rPr>
          <w:rFonts w:ascii="宋体" w:hAnsi="宋体" w:hint="eastAsia"/>
          <w:sz w:val="24"/>
          <w:szCs w:val="24"/>
        </w:rPr>
        <w:t>（5）《芜湖市市区农用地定级与基准地价评估工作报告》</w:t>
      </w:r>
    </w:p>
    <w:p w:rsidR="006F3FF3" w:rsidRDefault="006F3FF3" w:rsidP="006F3FF3">
      <w:pPr>
        <w:rPr>
          <w:rFonts w:ascii="宋体" w:hAnsi="宋体"/>
          <w:sz w:val="24"/>
          <w:szCs w:val="24"/>
        </w:rPr>
      </w:pPr>
      <w:r>
        <w:rPr>
          <w:rFonts w:ascii="宋体" w:hAnsi="宋体" w:hint="eastAsia"/>
          <w:sz w:val="24"/>
          <w:szCs w:val="24"/>
        </w:rPr>
        <w:t>（6）《芜湖市市区农用地定级与基准地价评估技术报告》</w:t>
      </w:r>
    </w:p>
    <w:p w:rsidR="006F3FF3" w:rsidRDefault="006F3FF3" w:rsidP="006F3FF3">
      <w:pPr>
        <w:rPr>
          <w:rFonts w:ascii="宋体" w:hAnsi="宋体"/>
          <w:sz w:val="24"/>
          <w:szCs w:val="24"/>
        </w:rPr>
      </w:pPr>
      <w:r>
        <w:rPr>
          <w:rFonts w:ascii="宋体" w:hAnsi="宋体" w:hint="eastAsia"/>
          <w:sz w:val="24"/>
          <w:szCs w:val="24"/>
        </w:rPr>
        <w:t>2.图件成果</w:t>
      </w:r>
    </w:p>
    <w:p w:rsidR="006F3FF3" w:rsidRDefault="006F3FF3" w:rsidP="006F3FF3">
      <w:pPr>
        <w:rPr>
          <w:rFonts w:ascii="宋体" w:hAnsi="宋体"/>
          <w:sz w:val="24"/>
          <w:szCs w:val="24"/>
        </w:rPr>
      </w:pPr>
      <w:r>
        <w:rPr>
          <w:rFonts w:ascii="宋体" w:hAnsi="宋体" w:hint="eastAsia"/>
          <w:sz w:val="24"/>
          <w:szCs w:val="24"/>
        </w:rPr>
        <w:t>（1）芜湖市市区商服用地土地定级与基准地价评估成果图</w:t>
      </w:r>
    </w:p>
    <w:p w:rsidR="006F3FF3" w:rsidRDefault="006F3FF3" w:rsidP="006F3FF3">
      <w:pPr>
        <w:rPr>
          <w:rFonts w:ascii="宋体" w:hAnsi="宋体"/>
          <w:sz w:val="24"/>
          <w:szCs w:val="24"/>
        </w:rPr>
      </w:pPr>
      <w:r>
        <w:rPr>
          <w:rFonts w:ascii="宋体" w:hAnsi="宋体" w:hint="eastAsia"/>
          <w:sz w:val="24"/>
          <w:szCs w:val="24"/>
        </w:rPr>
        <w:t>（2）芜湖市市区住宅用地土地定级与基准地价评估成果图</w:t>
      </w:r>
    </w:p>
    <w:p w:rsidR="006F3FF3" w:rsidRDefault="006F3FF3" w:rsidP="006F3FF3">
      <w:pPr>
        <w:rPr>
          <w:rFonts w:ascii="宋体" w:hAnsi="宋体"/>
          <w:sz w:val="24"/>
          <w:szCs w:val="24"/>
        </w:rPr>
      </w:pPr>
      <w:r>
        <w:rPr>
          <w:rFonts w:ascii="宋体" w:hAnsi="宋体" w:hint="eastAsia"/>
          <w:sz w:val="24"/>
          <w:szCs w:val="24"/>
        </w:rPr>
        <w:t>（3）芜湖市市区工业用地土地定级与基准地价评估成果图</w:t>
      </w:r>
    </w:p>
    <w:p w:rsidR="006F3FF3" w:rsidRDefault="006F3FF3" w:rsidP="006F3FF3">
      <w:pPr>
        <w:rPr>
          <w:rFonts w:ascii="宋体" w:hAnsi="宋体"/>
          <w:sz w:val="24"/>
          <w:szCs w:val="24"/>
        </w:rPr>
      </w:pPr>
      <w:r>
        <w:rPr>
          <w:rFonts w:ascii="宋体" w:hAnsi="宋体" w:hint="eastAsia"/>
          <w:sz w:val="24"/>
          <w:szCs w:val="24"/>
        </w:rPr>
        <w:t>（4）芜湖市市区公共管理和公共服务用地土地定级与基准地价评估成果图</w:t>
      </w:r>
    </w:p>
    <w:p w:rsidR="006F3FF3" w:rsidRDefault="006F3FF3" w:rsidP="006F3FF3">
      <w:pPr>
        <w:rPr>
          <w:rFonts w:ascii="宋体" w:hAnsi="宋体"/>
          <w:sz w:val="24"/>
          <w:szCs w:val="24"/>
        </w:rPr>
      </w:pPr>
      <w:r>
        <w:rPr>
          <w:rFonts w:ascii="宋体" w:hAnsi="宋体" w:hint="eastAsia"/>
          <w:sz w:val="24"/>
          <w:szCs w:val="24"/>
        </w:rPr>
        <w:t>（5）芜湖市市区集体建设用地土地定级与基准地价评估成果图</w:t>
      </w:r>
    </w:p>
    <w:p w:rsidR="006F3FF3" w:rsidRDefault="006F3FF3" w:rsidP="006F3FF3">
      <w:pPr>
        <w:rPr>
          <w:rFonts w:ascii="宋体" w:hAnsi="宋体"/>
          <w:sz w:val="24"/>
          <w:szCs w:val="24"/>
        </w:rPr>
      </w:pPr>
      <w:r>
        <w:rPr>
          <w:rFonts w:ascii="宋体" w:hAnsi="宋体" w:hint="eastAsia"/>
          <w:sz w:val="24"/>
          <w:szCs w:val="24"/>
        </w:rPr>
        <w:t>（6）芜湖市市区农用地土地定级与基准地价评估成果图</w:t>
      </w:r>
    </w:p>
    <w:p w:rsidR="006F3FF3" w:rsidRDefault="006F3FF3" w:rsidP="006F3FF3">
      <w:pPr>
        <w:rPr>
          <w:rFonts w:ascii="宋体" w:hAnsi="宋体"/>
          <w:sz w:val="24"/>
          <w:szCs w:val="24"/>
        </w:rPr>
      </w:pPr>
      <w:r>
        <w:rPr>
          <w:rFonts w:ascii="宋体" w:hAnsi="宋体" w:hint="eastAsia"/>
          <w:sz w:val="24"/>
          <w:szCs w:val="24"/>
        </w:rPr>
        <w:t>3.表格成果</w:t>
      </w:r>
    </w:p>
    <w:p w:rsidR="006F3FF3" w:rsidRDefault="006F3FF3" w:rsidP="006F3FF3">
      <w:pPr>
        <w:rPr>
          <w:rFonts w:ascii="宋体" w:hAnsi="宋体"/>
          <w:sz w:val="24"/>
          <w:szCs w:val="24"/>
        </w:rPr>
      </w:pPr>
      <w:r>
        <w:rPr>
          <w:rFonts w:ascii="宋体" w:hAnsi="宋体" w:hint="eastAsia"/>
          <w:sz w:val="24"/>
          <w:szCs w:val="24"/>
        </w:rPr>
        <w:t>（1）芜湖市市区各用地类型级别面积汇总表</w:t>
      </w:r>
    </w:p>
    <w:p w:rsidR="006F3FF3" w:rsidRDefault="006F3FF3" w:rsidP="006F3FF3">
      <w:pPr>
        <w:rPr>
          <w:rFonts w:ascii="宋体" w:hAnsi="宋体"/>
          <w:sz w:val="24"/>
          <w:szCs w:val="24"/>
        </w:rPr>
      </w:pPr>
      <w:r>
        <w:rPr>
          <w:rFonts w:ascii="宋体" w:hAnsi="宋体" w:hint="eastAsia"/>
          <w:sz w:val="24"/>
          <w:szCs w:val="24"/>
        </w:rPr>
        <w:t>（2）芜湖市市区各用地类型基准地价汇总表</w:t>
      </w:r>
    </w:p>
    <w:p w:rsidR="006F3FF3" w:rsidRDefault="006F3FF3" w:rsidP="006F3FF3">
      <w:pPr>
        <w:rPr>
          <w:rFonts w:ascii="宋体" w:hAnsi="宋体"/>
          <w:sz w:val="24"/>
          <w:szCs w:val="24"/>
        </w:rPr>
      </w:pPr>
      <w:r>
        <w:rPr>
          <w:rFonts w:ascii="宋体" w:hAnsi="宋体" w:hint="eastAsia"/>
          <w:sz w:val="24"/>
          <w:szCs w:val="24"/>
        </w:rPr>
        <w:t>（3）芜湖市市区各用地类型基准地价修正系数表</w:t>
      </w:r>
    </w:p>
    <w:p w:rsidR="006F3FF3" w:rsidRDefault="006F3FF3" w:rsidP="006F3FF3">
      <w:pPr>
        <w:rPr>
          <w:rFonts w:ascii="宋体" w:hAnsi="宋体"/>
          <w:sz w:val="24"/>
          <w:szCs w:val="24"/>
        </w:rPr>
      </w:pPr>
      <w:r>
        <w:rPr>
          <w:rFonts w:ascii="宋体" w:hAnsi="宋体" w:hint="eastAsia"/>
          <w:sz w:val="24"/>
          <w:szCs w:val="24"/>
        </w:rPr>
        <w:t>4.电子数据成果</w:t>
      </w:r>
    </w:p>
    <w:p w:rsidR="006F3FF3" w:rsidRDefault="006F3FF3" w:rsidP="006F3FF3">
      <w:pPr>
        <w:ind w:firstLineChars="200" w:firstLine="480"/>
        <w:rPr>
          <w:rFonts w:ascii="宋体" w:hAnsi="宋体"/>
          <w:sz w:val="24"/>
          <w:szCs w:val="24"/>
        </w:rPr>
      </w:pPr>
      <w:r>
        <w:rPr>
          <w:rFonts w:ascii="宋体" w:hAnsi="宋体" w:hint="eastAsia"/>
          <w:sz w:val="24"/>
          <w:szCs w:val="24"/>
        </w:rPr>
        <w:t>芜湖市市区城镇商服用地、住宅用地、工业用地、公共管理和公共服务用地、集体建设用地和农用地定级因素因子分值图、估价样点数据库等。</w:t>
      </w:r>
    </w:p>
    <w:p w:rsidR="006F3FF3" w:rsidRDefault="006F3FF3" w:rsidP="006F3FF3">
      <w:pPr>
        <w:rPr>
          <w:rFonts w:ascii="宋体" w:hAnsi="宋体"/>
          <w:sz w:val="24"/>
          <w:szCs w:val="24"/>
        </w:rPr>
      </w:pPr>
      <w:r>
        <w:rPr>
          <w:rFonts w:ascii="宋体" w:hAnsi="宋体" w:hint="eastAsia"/>
          <w:sz w:val="24"/>
          <w:szCs w:val="24"/>
        </w:rPr>
        <w:lastRenderedPageBreak/>
        <w:t>（五）报批备案</w:t>
      </w:r>
    </w:p>
    <w:p w:rsidR="006F3FF3" w:rsidRDefault="006F3FF3" w:rsidP="006F3FF3">
      <w:pPr>
        <w:ind w:firstLineChars="200" w:firstLine="480"/>
        <w:rPr>
          <w:rFonts w:ascii="宋体" w:hAnsi="宋体"/>
          <w:sz w:val="24"/>
          <w:szCs w:val="24"/>
        </w:rPr>
      </w:pPr>
      <w:r>
        <w:rPr>
          <w:rFonts w:ascii="宋体" w:hAnsi="宋体" w:hint="eastAsia"/>
          <w:sz w:val="24"/>
          <w:szCs w:val="24"/>
        </w:rPr>
        <w:t>完成该项目的成果报批和备案工作。</w:t>
      </w:r>
    </w:p>
    <w:p w:rsidR="006F3FF3" w:rsidRDefault="006F3FF3" w:rsidP="006F3FF3">
      <w:pPr>
        <w:rPr>
          <w:rFonts w:ascii="宋体" w:hAnsi="宋体"/>
          <w:sz w:val="24"/>
          <w:szCs w:val="24"/>
        </w:rPr>
      </w:pPr>
      <w:r>
        <w:rPr>
          <w:rFonts w:ascii="宋体" w:hAnsi="宋体" w:hint="eastAsia"/>
          <w:sz w:val="24"/>
          <w:szCs w:val="24"/>
        </w:rPr>
        <w:t>（六）其他要求</w:t>
      </w:r>
    </w:p>
    <w:p w:rsidR="006F3FF3" w:rsidRDefault="006F3FF3" w:rsidP="006F3FF3">
      <w:pPr>
        <w:ind w:firstLineChars="200" w:firstLine="480"/>
        <w:rPr>
          <w:rFonts w:ascii="宋体" w:hAnsi="宋体"/>
          <w:sz w:val="24"/>
          <w:szCs w:val="24"/>
        </w:rPr>
      </w:pPr>
      <w:r>
        <w:rPr>
          <w:rFonts w:ascii="宋体" w:hAnsi="宋体" w:hint="eastAsia"/>
          <w:sz w:val="24"/>
          <w:szCs w:val="24"/>
        </w:rPr>
        <w:t xml:space="preserve">1.该项目不接受挂靠资质的投标供应商投标，合同签订后，采购人发现资质证书或者业绩造假的，采购人将解除合同，扣除中标供应商全部履约保证金。因中标供应商原因导致该项目不能按期完成的，造成采购人工期延误及其他经济损失，中标供应商应承担全部责任。 </w:t>
      </w:r>
    </w:p>
    <w:p w:rsidR="006F3FF3" w:rsidRDefault="006F3FF3" w:rsidP="006F3FF3">
      <w:pPr>
        <w:ind w:firstLineChars="200" w:firstLine="480"/>
        <w:rPr>
          <w:rFonts w:ascii="宋体" w:hAnsi="宋体"/>
          <w:sz w:val="24"/>
          <w:szCs w:val="24"/>
        </w:rPr>
      </w:pPr>
      <w:r>
        <w:rPr>
          <w:rFonts w:ascii="宋体" w:hAnsi="宋体" w:hint="eastAsia"/>
          <w:sz w:val="24"/>
          <w:szCs w:val="24"/>
        </w:rPr>
        <w:t>2.中标供应商应书面承诺：</w:t>
      </w:r>
      <w:r>
        <w:rPr>
          <w:rFonts w:ascii="宋体" w:hAnsi="宋体" w:hint="eastAsia"/>
          <w:b/>
          <w:bCs/>
          <w:sz w:val="24"/>
          <w:szCs w:val="24"/>
        </w:rPr>
        <w:t>在本项目实施期间不得更换项目负责人和技术人员</w:t>
      </w:r>
      <w:r>
        <w:rPr>
          <w:rFonts w:ascii="宋体" w:hAnsi="宋体" w:hint="eastAsia"/>
          <w:sz w:val="24"/>
          <w:szCs w:val="24"/>
        </w:rPr>
        <w:t>。采购人（甲方）在中标供应商人员进场时将依据投标文件中配备的人员信息进行身份证核对，项目具体实施必须有投标书确定的项目负责人牵头并按照项目组织方案落实。</w:t>
      </w:r>
    </w:p>
    <w:p w:rsidR="006F3FF3" w:rsidRDefault="006F3FF3" w:rsidP="006F3FF3">
      <w:pPr>
        <w:ind w:firstLineChars="200" w:firstLine="480"/>
        <w:rPr>
          <w:rFonts w:ascii="宋体" w:hAnsi="宋体"/>
          <w:sz w:val="24"/>
          <w:szCs w:val="24"/>
        </w:rPr>
      </w:pPr>
      <w:r>
        <w:rPr>
          <w:rFonts w:ascii="宋体" w:hAnsi="宋体" w:hint="eastAsia"/>
          <w:sz w:val="24"/>
          <w:szCs w:val="24"/>
        </w:rPr>
        <w:t>3.参加投标的单位必须承诺：按照国家保密的有关规定和采购人提出的保密要求管理有关人员、数据和文档。中标供应商必须按照国家保密的有关规定和采购人（甲方）提出的保密要求管理有关数据和文档。因数据保密的要求，数据内业处理由中标单位在满足数据保密要求的环境下实施。数据处理中使用中的移动硬盘等设备由中标供应商自行准备，采购人将对其存储介质格式化后使用。项目实施期间，中标供应商自行准备的设备出现故障和损坏，由中标供应商自行负责；项目验收通过后，中标供应商自行准备的移动硬盘等设备经采购人格式化并检查后，由中标供应商收回。</w:t>
      </w:r>
    </w:p>
    <w:p w:rsidR="006F3FF3" w:rsidRDefault="006F3FF3" w:rsidP="006F3FF3">
      <w:pPr>
        <w:rPr>
          <w:rFonts w:ascii="宋体" w:hAnsi="宋体"/>
          <w:sz w:val="24"/>
          <w:szCs w:val="24"/>
        </w:rPr>
      </w:pPr>
      <w:r>
        <w:rPr>
          <w:rFonts w:ascii="宋体" w:hAnsi="宋体" w:hint="eastAsia"/>
          <w:sz w:val="24"/>
          <w:szCs w:val="24"/>
        </w:rPr>
        <w:t>（七）注意事项</w:t>
      </w:r>
    </w:p>
    <w:p w:rsidR="006F3FF3" w:rsidRDefault="006F3FF3" w:rsidP="006F3FF3">
      <w:pPr>
        <w:ind w:firstLineChars="200" w:firstLine="480"/>
        <w:rPr>
          <w:rFonts w:ascii="宋体" w:hAnsi="宋体"/>
          <w:sz w:val="24"/>
          <w:szCs w:val="24"/>
        </w:rPr>
      </w:pPr>
      <w:r>
        <w:rPr>
          <w:rFonts w:ascii="宋体" w:hAnsi="宋体" w:hint="eastAsia"/>
          <w:sz w:val="24"/>
          <w:szCs w:val="24"/>
        </w:rPr>
        <w:t>1.投标供应商应充分了解本项目采购需求内容及项目特点，便于报价。</w:t>
      </w:r>
    </w:p>
    <w:p w:rsidR="006F3FF3" w:rsidRDefault="006F3FF3" w:rsidP="006F3FF3">
      <w:pPr>
        <w:ind w:firstLineChars="200" w:firstLine="480"/>
        <w:rPr>
          <w:rFonts w:ascii="宋体" w:hAnsi="宋体"/>
          <w:sz w:val="24"/>
          <w:szCs w:val="24"/>
        </w:rPr>
      </w:pPr>
      <w:r>
        <w:rPr>
          <w:rFonts w:ascii="宋体" w:hAnsi="宋体" w:hint="eastAsia"/>
          <w:sz w:val="24"/>
          <w:szCs w:val="24"/>
        </w:rPr>
        <w:t>2.投标供应商报价为项目服务全部内容以及不可预见费、承包风险、政策性调整风险等全部费用。包含且不限于：工人工资、加班工资、奖金、津贴、社会保险费、意外险、防暑降温费等、教育培训费用、作业措施费、风险费、管理费、税费等一切费用。</w:t>
      </w:r>
    </w:p>
    <w:p w:rsidR="006F3FF3" w:rsidRDefault="006F3FF3" w:rsidP="006F3FF3">
      <w:pPr>
        <w:ind w:firstLineChars="200" w:firstLine="480"/>
        <w:rPr>
          <w:rFonts w:ascii="宋体" w:hAnsi="宋体"/>
          <w:sz w:val="24"/>
          <w:szCs w:val="24"/>
        </w:rPr>
      </w:pPr>
      <w:r>
        <w:rPr>
          <w:rFonts w:ascii="宋体" w:hAnsi="宋体" w:hint="eastAsia"/>
          <w:sz w:val="24"/>
          <w:szCs w:val="24"/>
        </w:rPr>
        <w:t>3.投标报价按人员费用、设备费用、为完成本项目所支出的其他各项费用及税费等综合考虑。</w:t>
      </w:r>
    </w:p>
    <w:p w:rsidR="006F3FF3" w:rsidRDefault="006F3FF3" w:rsidP="006F3FF3">
      <w:pPr>
        <w:ind w:firstLineChars="200" w:firstLine="480"/>
        <w:rPr>
          <w:rFonts w:ascii="宋体" w:hAnsi="宋体"/>
          <w:sz w:val="24"/>
          <w:szCs w:val="24"/>
        </w:rPr>
      </w:pPr>
      <w:r>
        <w:rPr>
          <w:rFonts w:ascii="宋体" w:hAnsi="宋体" w:hint="eastAsia"/>
          <w:sz w:val="24"/>
          <w:szCs w:val="24"/>
        </w:rPr>
        <w:t>4.投标供应商报价中没有列明的但又是必须发生的费用（包括项目评审、论证等费用）将视为已含在其投标报价中。</w:t>
      </w:r>
    </w:p>
    <w:p w:rsidR="006F3FF3" w:rsidRDefault="006F3FF3" w:rsidP="006F3FF3">
      <w:pPr>
        <w:pStyle w:val="00"/>
        <w:ind w:firstLineChars="196" w:firstLine="470"/>
        <w:jc w:val="center"/>
        <w:rPr>
          <w:rFonts w:ascii="宋体" w:hAnsi="宋体"/>
          <w:sz w:val="24"/>
          <w:szCs w:val="24"/>
        </w:rPr>
      </w:pPr>
    </w:p>
    <w:p w:rsidR="006F3FF3" w:rsidRDefault="006F3FF3" w:rsidP="006F3FF3">
      <w:pPr>
        <w:pStyle w:val="00"/>
        <w:ind w:firstLineChars="196" w:firstLine="470"/>
        <w:jc w:val="center"/>
        <w:rPr>
          <w:rFonts w:ascii="宋体" w:hAnsi="宋体"/>
          <w:sz w:val="24"/>
          <w:szCs w:val="24"/>
        </w:rPr>
      </w:pPr>
      <w:r>
        <w:rPr>
          <w:rFonts w:ascii="宋体" w:hAnsi="宋体" w:hint="eastAsia"/>
          <w:sz w:val="24"/>
          <w:szCs w:val="24"/>
        </w:rPr>
        <w:t>采购需求一览表</w:t>
      </w:r>
    </w:p>
    <w:p w:rsidR="006F3FF3" w:rsidRDefault="006F3FF3" w:rsidP="006F3FF3">
      <w:pPr>
        <w:pStyle w:val="00"/>
        <w:jc w:val="center"/>
        <w:rPr>
          <w:rFonts w:ascii="宋体" w:hAnsi="宋体"/>
          <w:sz w:val="28"/>
          <w:szCs w:val="28"/>
        </w:rPr>
      </w:pPr>
    </w:p>
    <w:tbl>
      <w:tblPr>
        <w:tblW w:w="9230"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478"/>
        <w:gridCol w:w="954"/>
        <w:gridCol w:w="3816"/>
        <w:gridCol w:w="477"/>
        <w:gridCol w:w="477"/>
        <w:gridCol w:w="954"/>
        <w:gridCol w:w="954"/>
        <w:gridCol w:w="1120"/>
      </w:tblGrid>
      <w:tr w:rsidR="006F3FF3" w:rsidTr="00571A3B">
        <w:tc>
          <w:tcPr>
            <w:tcW w:w="478"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t>序号</w:t>
            </w:r>
          </w:p>
        </w:tc>
        <w:tc>
          <w:tcPr>
            <w:tcW w:w="954"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t>名称</w:t>
            </w:r>
          </w:p>
        </w:tc>
        <w:tc>
          <w:tcPr>
            <w:tcW w:w="3816"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rPr>
                <w:rFonts w:hint="eastAsia"/>
              </w:rPr>
              <w:t>服务要求</w:t>
            </w:r>
          </w:p>
        </w:tc>
        <w:tc>
          <w:tcPr>
            <w:tcW w:w="477"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t>数量</w:t>
            </w:r>
          </w:p>
        </w:tc>
        <w:tc>
          <w:tcPr>
            <w:tcW w:w="477"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t>单位</w:t>
            </w:r>
          </w:p>
        </w:tc>
        <w:tc>
          <w:tcPr>
            <w:tcW w:w="954"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t>单价</w:t>
            </w:r>
          </w:p>
        </w:tc>
        <w:tc>
          <w:tcPr>
            <w:tcW w:w="954"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t>合计价</w:t>
            </w:r>
          </w:p>
        </w:tc>
        <w:tc>
          <w:tcPr>
            <w:tcW w:w="1120"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t>备注</w:t>
            </w:r>
          </w:p>
        </w:tc>
      </w:tr>
      <w:tr w:rsidR="006F3FF3" w:rsidTr="00571A3B">
        <w:trPr>
          <w:trHeight w:val="991"/>
        </w:trPr>
        <w:tc>
          <w:tcPr>
            <w:tcW w:w="478" w:type="dxa"/>
            <w:tcBorders>
              <w:top w:val="outset" w:sz="6" w:space="0" w:color="auto"/>
              <w:left w:val="outset" w:sz="6" w:space="0" w:color="auto"/>
              <w:right w:val="outset" w:sz="6" w:space="0" w:color="auto"/>
            </w:tcBorders>
            <w:vAlign w:val="center"/>
          </w:tcPr>
          <w:p w:rsidR="006F3FF3" w:rsidRDefault="006F3FF3" w:rsidP="00571A3B">
            <w:r>
              <w:rPr>
                <w:rFonts w:hint="eastAsia"/>
              </w:rPr>
              <w:t>1</w:t>
            </w:r>
          </w:p>
        </w:tc>
        <w:tc>
          <w:tcPr>
            <w:tcW w:w="954" w:type="dxa"/>
            <w:tcBorders>
              <w:top w:val="outset" w:sz="6" w:space="0" w:color="auto"/>
              <w:left w:val="outset" w:sz="6" w:space="0" w:color="auto"/>
              <w:right w:val="outset" w:sz="6" w:space="0" w:color="auto"/>
            </w:tcBorders>
            <w:vAlign w:val="center"/>
          </w:tcPr>
          <w:p w:rsidR="006F3FF3" w:rsidRDefault="006F3FF3" w:rsidP="00571A3B">
            <w:pPr>
              <w:jc w:val="center"/>
            </w:pPr>
            <w:r>
              <w:rPr>
                <w:rFonts w:hint="eastAsia"/>
              </w:rPr>
              <w:t>芜湖市城镇基准地价更新和集体建设用地及农用地基准地价制定</w:t>
            </w:r>
          </w:p>
        </w:tc>
        <w:tc>
          <w:tcPr>
            <w:tcW w:w="3816"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rPr>
                <w:rFonts w:hint="eastAsia"/>
              </w:rPr>
              <w:t>详见采购需求</w:t>
            </w:r>
          </w:p>
        </w:tc>
        <w:tc>
          <w:tcPr>
            <w:tcW w:w="477" w:type="dxa"/>
            <w:tcBorders>
              <w:top w:val="outset" w:sz="6" w:space="0" w:color="auto"/>
              <w:left w:val="outset" w:sz="6" w:space="0" w:color="auto"/>
              <w:right w:val="outset" w:sz="6" w:space="0" w:color="auto"/>
            </w:tcBorders>
            <w:vAlign w:val="center"/>
          </w:tcPr>
          <w:p w:rsidR="006F3FF3" w:rsidRDefault="006F3FF3" w:rsidP="00571A3B">
            <w:pPr>
              <w:jc w:val="center"/>
            </w:pPr>
            <w:r>
              <w:rPr>
                <w:rFonts w:hint="eastAsia"/>
              </w:rPr>
              <w:t>1</w:t>
            </w:r>
          </w:p>
        </w:tc>
        <w:tc>
          <w:tcPr>
            <w:tcW w:w="477" w:type="dxa"/>
            <w:tcBorders>
              <w:top w:val="outset" w:sz="6" w:space="0" w:color="auto"/>
              <w:left w:val="outset" w:sz="6" w:space="0" w:color="auto"/>
              <w:right w:val="outset" w:sz="6" w:space="0" w:color="auto"/>
            </w:tcBorders>
            <w:vAlign w:val="center"/>
          </w:tcPr>
          <w:p w:rsidR="006F3FF3" w:rsidRDefault="006F3FF3" w:rsidP="00571A3B">
            <w:pPr>
              <w:jc w:val="center"/>
            </w:pPr>
            <w:r>
              <w:rPr>
                <w:rFonts w:hint="eastAsia"/>
              </w:rPr>
              <w:t>项</w:t>
            </w:r>
          </w:p>
        </w:tc>
        <w:tc>
          <w:tcPr>
            <w:tcW w:w="954" w:type="dxa"/>
            <w:tcBorders>
              <w:top w:val="outset" w:sz="6" w:space="0" w:color="auto"/>
              <w:left w:val="outset" w:sz="6" w:space="0" w:color="auto"/>
              <w:right w:val="outset" w:sz="6" w:space="0" w:color="auto"/>
            </w:tcBorders>
            <w:vAlign w:val="center"/>
          </w:tcPr>
          <w:p w:rsidR="006F3FF3" w:rsidRDefault="006F3FF3" w:rsidP="00571A3B">
            <w:pPr>
              <w:jc w:val="center"/>
            </w:pPr>
          </w:p>
        </w:tc>
        <w:tc>
          <w:tcPr>
            <w:tcW w:w="954" w:type="dxa"/>
            <w:tcBorders>
              <w:top w:val="outset" w:sz="6" w:space="0" w:color="auto"/>
              <w:left w:val="outset" w:sz="6" w:space="0" w:color="auto"/>
              <w:right w:val="outset" w:sz="6" w:space="0" w:color="auto"/>
            </w:tcBorders>
            <w:vAlign w:val="center"/>
          </w:tcPr>
          <w:p w:rsidR="006F3FF3" w:rsidRDefault="006F3FF3" w:rsidP="00571A3B">
            <w:pPr>
              <w:jc w:val="center"/>
            </w:pPr>
          </w:p>
        </w:tc>
        <w:tc>
          <w:tcPr>
            <w:tcW w:w="1120" w:type="dxa"/>
            <w:tcBorders>
              <w:top w:val="outset" w:sz="6" w:space="0" w:color="auto"/>
              <w:left w:val="outset" w:sz="6" w:space="0" w:color="auto"/>
              <w:right w:val="outset" w:sz="6" w:space="0" w:color="auto"/>
            </w:tcBorders>
            <w:vAlign w:val="center"/>
          </w:tcPr>
          <w:p w:rsidR="006F3FF3" w:rsidRDefault="006F3FF3" w:rsidP="00571A3B">
            <w:pPr>
              <w:jc w:val="center"/>
            </w:pPr>
          </w:p>
        </w:tc>
      </w:tr>
      <w:tr w:rsidR="006F3FF3" w:rsidTr="00571A3B">
        <w:trPr>
          <w:trHeight w:val="646"/>
        </w:trPr>
        <w:tc>
          <w:tcPr>
            <w:tcW w:w="478" w:type="dxa"/>
            <w:tcBorders>
              <w:top w:val="outset" w:sz="6" w:space="0" w:color="auto"/>
              <w:left w:val="outset" w:sz="6" w:space="0" w:color="auto"/>
              <w:right w:val="outset" w:sz="6" w:space="0" w:color="auto"/>
            </w:tcBorders>
            <w:vAlign w:val="center"/>
          </w:tcPr>
          <w:p w:rsidR="006F3FF3" w:rsidRDefault="006F3FF3" w:rsidP="00571A3B"/>
        </w:tc>
        <w:tc>
          <w:tcPr>
            <w:tcW w:w="954" w:type="dxa"/>
            <w:tcBorders>
              <w:top w:val="outset" w:sz="6" w:space="0" w:color="auto"/>
              <w:left w:val="outset" w:sz="6" w:space="0" w:color="auto"/>
              <w:right w:val="outset" w:sz="6" w:space="0" w:color="auto"/>
            </w:tcBorders>
            <w:vAlign w:val="center"/>
          </w:tcPr>
          <w:p w:rsidR="006F3FF3" w:rsidRDefault="006F3FF3" w:rsidP="00571A3B">
            <w:pPr>
              <w:jc w:val="center"/>
            </w:pPr>
          </w:p>
        </w:tc>
        <w:tc>
          <w:tcPr>
            <w:tcW w:w="3816"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left"/>
            </w:pPr>
          </w:p>
          <w:p w:rsidR="006F3FF3" w:rsidRDefault="006F3FF3" w:rsidP="00571A3B">
            <w:pPr>
              <w:jc w:val="center"/>
            </w:pPr>
          </w:p>
        </w:tc>
        <w:tc>
          <w:tcPr>
            <w:tcW w:w="477" w:type="dxa"/>
            <w:tcBorders>
              <w:top w:val="outset" w:sz="6" w:space="0" w:color="auto"/>
              <w:left w:val="outset" w:sz="6" w:space="0" w:color="auto"/>
              <w:right w:val="outset" w:sz="6" w:space="0" w:color="auto"/>
            </w:tcBorders>
            <w:vAlign w:val="center"/>
          </w:tcPr>
          <w:p w:rsidR="006F3FF3" w:rsidRDefault="006F3FF3" w:rsidP="00571A3B">
            <w:pPr>
              <w:jc w:val="center"/>
            </w:pPr>
          </w:p>
        </w:tc>
        <w:tc>
          <w:tcPr>
            <w:tcW w:w="477" w:type="dxa"/>
            <w:tcBorders>
              <w:top w:val="outset" w:sz="6" w:space="0" w:color="auto"/>
              <w:left w:val="outset" w:sz="6" w:space="0" w:color="auto"/>
              <w:right w:val="outset" w:sz="6" w:space="0" w:color="auto"/>
            </w:tcBorders>
            <w:vAlign w:val="center"/>
          </w:tcPr>
          <w:p w:rsidR="006F3FF3" w:rsidRDefault="006F3FF3" w:rsidP="00571A3B">
            <w:pPr>
              <w:jc w:val="center"/>
            </w:pPr>
          </w:p>
        </w:tc>
        <w:tc>
          <w:tcPr>
            <w:tcW w:w="954" w:type="dxa"/>
            <w:tcBorders>
              <w:top w:val="outset" w:sz="6" w:space="0" w:color="auto"/>
              <w:left w:val="outset" w:sz="6" w:space="0" w:color="auto"/>
              <w:right w:val="outset" w:sz="6" w:space="0" w:color="auto"/>
            </w:tcBorders>
            <w:vAlign w:val="center"/>
          </w:tcPr>
          <w:p w:rsidR="006F3FF3" w:rsidRDefault="006F3FF3" w:rsidP="00571A3B">
            <w:pPr>
              <w:jc w:val="center"/>
            </w:pPr>
          </w:p>
        </w:tc>
        <w:tc>
          <w:tcPr>
            <w:tcW w:w="954" w:type="dxa"/>
            <w:tcBorders>
              <w:top w:val="outset" w:sz="6" w:space="0" w:color="auto"/>
              <w:left w:val="outset" w:sz="6" w:space="0" w:color="auto"/>
              <w:right w:val="outset" w:sz="6" w:space="0" w:color="auto"/>
            </w:tcBorders>
            <w:vAlign w:val="center"/>
          </w:tcPr>
          <w:p w:rsidR="006F3FF3" w:rsidRDefault="006F3FF3" w:rsidP="00571A3B">
            <w:pPr>
              <w:jc w:val="center"/>
            </w:pPr>
          </w:p>
        </w:tc>
        <w:tc>
          <w:tcPr>
            <w:tcW w:w="1120" w:type="dxa"/>
            <w:tcBorders>
              <w:top w:val="outset" w:sz="6" w:space="0" w:color="auto"/>
              <w:left w:val="outset" w:sz="6" w:space="0" w:color="auto"/>
              <w:right w:val="outset" w:sz="6" w:space="0" w:color="auto"/>
            </w:tcBorders>
            <w:vAlign w:val="center"/>
          </w:tcPr>
          <w:p w:rsidR="006F3FF3" w:rsidRDefault="006F3FF3" w:rsidP="00571A3B">
            <w:pPr>
              <w:jc w:val="center"/>
            </w:pPr>
          </w:p>
        </w:tc>
      </w:tr>
    </w:tbl>
    <w:p w:rsidR="006F3FF3" w:rsidRDefault="006F3FF3" w:rsidP="006F3FF3">
      <w:pPr>
        <w:pStyle w:val="00"/>
        <w:ind w:firstLineChars="196" w:firstLine="470"/>
        <w:jc w:val="center"/>
        <w:rPr>
          <w:rFonts w:ascii="宋体" w:hAnsi="宋体"/>
          <w:sz w:val="24"/>
          <w:szCs w:val="24"/>
        </w:rPr>
      </w:pPr>
    </w:p>
    <w:p w:rsidR="006F3FF3" w:rsidRDefault="006F3FF3" w:rsidP="006F3FF3">
      <w:pPr>
        <w:pStyle w:val="00"/>
        <w:rPr>
          <w:rFonts w:ascii="宋体" w:hAnsi="宋体"/>
          <w:sz w:val="28"/>
          <w:szCs w:val="28"/>
        </w:rPr>
      </w:pPr>
    </w:p>
    <w:p w:rsidR="006F3FF3" w:rsidRDefault="006F3FF3" w:rsidP="006F3FF3">
      <w:pPr>
        <w:pStyle w:val="00"/>
        <w:ind w:firstLineChars="196" w:firstLine="470"/>
        <w:jc w:val="center"/>
        <w:rPr>
          <w:rFonts w:ascii="宋体" w:hAnsi="宋体"/>
          <w:sz w:val="24"/>
          <w:szCs w:val="24"/>
        </w:rPr>
      </w:pPr>
      <w:r>
        <w:rPr>
          <w:rFonts w:ascii="宋体" w:hAnsi="宋体"/>
          <w:sz w:val="24"/>
          <w:szCs w:val="24"/>
        </w:rPr>
        <w:t>本项目核心</w:t>
      </w:r>
      <w:r>
        <w:rPr>
          <w:rFonts w:ascii="宋体" w:hAnsi="宋体" w:hint="eastAsia"/>
          <w:sz w:val="24"/>
          <w:szCs w:val="24"/>
        </w:rPr>
        <w:t>服务项目</w:t>
      </w:r>
      <w:r>
        <w:rPr>
          <w:rFonts w:ascii="宋体" w:hAnsi="宋体"/>
          <w:sz w:val="24"/>
          <w:szCs w:val="24"/>
        </w:rPr>
        <w:t>一览表</w:t>
      </w:r>
    </w:p>
    <w:p w:rsidR="006F3FF3" w:rsidRDefault="006F3FF3" w:rsidP="006F3FF3">
      <w:pPr>
        <w:pStyle w:val="00"/>
        <w:ind w:firstLineChars="196" w:firstLine="470"/>
        <w:jc w:val="center"/>
        <w:rPr>
          <w:rFonts w:ascii="宋体" w:hAnsi="宋体"/>
          <w:sz w:val="24"/>
          <w:szCs w:val="24"/>
        </w:rPr>
      </w:pPr>
    </w:p>
    <w:tbl>
      <w:tblPr>
        <w:tblW w:w="7633"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139"/>
        <w:gridCol w:w="6494"/>
      </w:tblGrid>
      <w:tr w:rsidR="006F3FF3" w:rsidTr="00571A3B">
        <w:trPr>
          <w:jc w:val="center"/>
        </w:trPr>
        <w:tc>
          <w:tcPr>
            <w:tcW w:w="1139"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t>序号</w:t>
            </w:r>
          </w:p>
        </w:tc>
        <w:tc>
          <w:tcPr>
            <w:tcW w:w="6494"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t>核心</w:t>
            </w:r>
            <w:r>
              <w:rPr>
                <w:rFonts w:hint="eastAsia"/>
              </w:rPr>
              <w:t>服务项目</w:t>
            </w:r>
          </w:p>
        </w:tc>
      </w:tr>
      <w:tr w:rsidR="006F3FF3" w:rsidTr="00571A3B">
        <w:trPr>
          <w:jc w:val="center"/>
        </w:trPr>
        <w:tc>
          <w:tcPr>
            <w:tcW w:w="1139"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rPr>
                <w:rFonts w:hint="eastAsia"/>
              </w:rPr>
              <w:t>1</w:t>
            </w:r>
          </w:p>
        </w:tc>
        <w:tc>
          <w:tcPr>
            <w:tcW w:w="6494" w:type="dxa"/>
            <w:tcBorders>
              <w:top w:val="outset" w:sz="6" w:space="0" w:color="auto"/>
              <w:left w:val="outset" w:sz="6" w:space="0" w:color="auto"/>
              <w:bottom w:val="outset" w:sz="6" w:space="0" w:color="auto"/>
              <w:right w:val="outset" w:sz="6" w:space="0" w:color="auto"/>
            </w:tcBorders>
            <w:vAlign w:val="center"/>
          </w:tcPr>
          <w:p w:rsidR="006F3FF3" w:rsidRDefault="006F3FF3" w:rsidP="00571A3B">
            <w:pPr>
              <w:jc w:val="center"/>
            </w:pPr>
            <w:r>
              <w:rPr>
                <w:rFonts w:hint="eastAsia"/>
              </w:rPr>
              <w:t>芜湖市城镇基准地价更新和集体建设用地及农用地基准地价制定</w:t>
            </w:r>
          </w:p>
        </w:tc>
      </w:tr>
    </w:tbl>
    <w:p w:rsidR="006F3FF3" w:rsidRDefault="006F3FF3" w:rsidP="006F3FF3">
      <w:pPr>
        <w:pStyle w:val="00"/>
        <w:ind w:firstLineChars="196" w:firstLine="470"/>
        <w:jc w:val="center"/>
        <w:rPr>
          <w:rFonts w:ascii="宋体" w:hAnsi="宋体"/>
          <w:sz w:val="24"/>
          <w:szCs w:val="24"/>
        </w:rPr>
      </w:pPr>
    </w:p>
    <w:p w:rsidR="006F3FF3" w:rsidRDefault="006F3FF3" w:rsidP="006F3FF3">
      <w:pPr>
        <w:pStyle w:val="00"/>
        <w:ind w:firstLineChars="196" w:firstLine="470"/>
        <w:rPr>
          <w:rFonts w:ascii="宋体" w:hAnsi="宋体"/>
          <w:sz w:val="24"/>
          <w:szCs w:val="24"/>
        </w:rPr>
      </w:pPr>
      <w:r>
        <w:rPr>
          <w:rFonts w:ascii="宋体" w:hAnsi="宋体" w:hint="eastAsia"/>
          <w:sz w:val="24"/>
          <w:szCs w:val="24"/>
        </w:rPr>
        <w:t>备注：1、本表序号为采购需求一览表中对应的序号；</w:t>
      </w:r>
    </w:p>
    <w:p w:rsidR="0010376D" w:rsidRDefault="006F3FF3" w:rsidP="006F3FF3">
      <w:r>
        <w:rPr>
          <w:rFonts w:ascii="宋体" w:hAnsi="宋体" w:hint="eastAsia"/>
          <w:sz w:val="24"/>
          <w:szCs w:val="24"/>
        </w:rPr>
        <w:t>2、上表应根据具体项目和评标办法合理填写。</w:t>
      </w:r>
      <w:bookmarkStart w:id="0" w:name="_GoBack"/>
      <w:bookmarkEnd w:id="0"/>
    </w:p>
    <w:sectPr w:rsidR="0010376D" w:rsidSect="001D15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2B7" w:rsidRDefault="00F832B7" w:rsidP="006F3FF3">
      <w:r>
        <w:separator/>
      </w:r>
    </w:p>
  </w:endnote>
  <w:endnote w:type="continuationSeparator" w:id="0">
    <w:p w:rsidR="00F832B7" w:rsidRDefault="00F832B7" w:rsidP="006F3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2B7" w:rsidRDefault="00F832B7" w:rsidP="006F3FF3">
      <w:r>
        <w:separator/>
      </w:r>
    </w:p>
  </w:footnote>
  <w:footnote w:type="continuationSeparator" w:id="0">
    <w:p w:rsidR="00F832B7" w:rsidRDefault="00F832B7" w:rsidP="006F3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2A0"/>
    <w:rsid w:val="000566F7"/>
    <w:rsid w:val="0010376D"/>
    <w:rsid w:val="001D159E"/>
    <w:rsid w:val="001F12A0"/>
    <w:rsid w:val="00556222"/>
    <w:rsid w:val="006F3FF3"/>
    <w:rsid w:val="00F83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F3"/>
    <w:pPr>
      <w:widowControl w:val="0"/>
      <w:jc w:val="both"/>
    </w:pPr>
    <w:rPr>
      <w:rFonts w:ascii="Calibri" w:eastAsia="宋体" w:hAnsi="Calibri" w:cs="Times New Roman"/>
    </w:rPr>
  </w:style>
  <w:style w:type="paragraph" w:styleId="2">
    <w:name w:val="heading 2"/>
    <w:basedOn w:val="a"/>
    <w:next w:val="a"/>
    <w:link w:val="2Char"/>
    <w:qFormat/>
    <w:rsid w:val="006F3FF3"/>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F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3FF3"/>
    <w:rPr>
      <w:sz w:val="18"/>
      <w:szCs w:val="18"/>
    </w:rPr>
  </w:style>
  <w:style w:type="paragraph" w:styleId="a4">
    <w:name w:val="footer"/>
    <w:basedOn w:val="a"/>
    <w:link w:val="Char0"/>
    <w:uiPriority w:val="99"/>
    <w:unhideWhenUsed/>
    <w:rsid w:val="006F3F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3FF3"/>
    <w:rPr>
      <w:sz w:val="18"/>
      <w:szCs w:val="18"/>
    </w:rPr>
  </w:style>
  <w:style w:type="character" w:customStyle="1" w:styleId="2Char">
    <w:name w:val="标题 2 Char"/>
    <w:basedOn w:val="a0"/>
    <w:link w:val="2"/>
    <w:rsid w:val="006F3FF3"/>
    <w:rPr>
      <w:rFonts w:ascii="Arial" w:eastAsia="黑体" w:hAnsi="Arial" w:cs="Times New Roman"/>
      <w:b/>
      <w:sz w:val="32"/>
      <w:szCs w:val="20"/>
    </w:rPr>
  </w:style>
  <w:style w:type="paragraph" w:customStyle="1" w:styleId="00">
    <w:name w:val="正文_0_0"/>
    <w:qFormat/>
    <w:rsid w:val="006F3FF3"/>
    <w:pPr>
      <w:widowControl w:val="0"/>
      <w:jc w:val="both"/>
    </w:pPr>
    <w:rPr>
      <w:rFonts w:ascii="Calibri"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F3"/>
    <w:pPr>
      <w:widowControl w:val="0"/>
      <w:jc w:val="both"/>
    </w:pPr>
    <w:rPr>
      <w:rFonts w:ascii="Calibri" w:eastAsia="宋体" w:hAnsi="Calibri" w:cs="Times New Roman"/>
    </w:rPr>
  </w:style>
  <w:style w:type="paragraph" w:styleId="2">
    <w:name w:val="heading 2"/>
    <w:basedOn w:val="a"/>
    <w:next w:val="a"/>
    <w:link w:val="2Char"/>
    <w:qFormat/>
    <w:rsid w:val="006F3FF3"/>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F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3FF3"/>
    <w:rPr>
      <w:sz w:val="18"/>
      <w:szCs w:val="18"/>
    </w:rPr>
  </w:style>
  <w:style w:type="paragraph" w:styleId="a4">
    <w:name w:val="footer"/>
    <w:basedOn w:val="a"/>
    <w:link w:val="Char0"/>
    <w:uiPriority w:val="99"/>
    <w:unhideWhenUsed/>
    <w:rsid w:val="006F3F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3FF3"/>
    <w:rPr>
      <w:sz w:val="18"/>
      <w:szCs w:val="18"/>
    </w:rPr>
  </w:style>
  <w:style w:type="character" w:customStyle="1" w:styleId="2Char">
    <w:name w:val="标题 2 Char"/>
    <w:basedOn w:val="a0"/>
    <w:link w:val="2"/>
    <w:rsid w:val="006F3FF3"/>
    <w:rPr>
      <w:rFonts w:ascii="Arial" w:eastAsia="黑体" w:hAnsi="Arial" w:cs="Times New Roman"/>
      <w:b/>
      <w:sz w:val="32"/>
      <w:szCs w:val="20"/>
    </w:rPr>
  </w:style>
  <w:style w:type="paragraph" w:customStyle="1" w:styleId="00">
    <w:name w:val="正文_0_0"/>
    <w:qFormat/>
    <w:rsid w:val="006F3FF3"/>
    <w:pPr>
      <w:widowControl w:val="0"/>
      <w:jc w:val="both"/>
    </w:pPr>
    <w:rPr>
      <w:rFonts w:ascii="Calibri" w:eastAsia="宋体"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Scends_ge</dc:creator>
  <cp:keywords/>
  <dc:description/>
  <cp:lastModifiedBy>龚奇</cp:lastModifiedBy>
  <cp:revision>3</cp:revision>
  <dcterms:created xsi:type="dcterms:W3CDTF">2021-04-15T04:42:00Z</dcterms:created>
  <dcterms:modified xsi:type="dcterms:W3CDTF">2021-04-15T08:32:00Z</dcterms:modified>
</cp:coreProperties>
</file>