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65B05" w14:textId="77777777" w:rsidR="00710FE4" w:rsidRPr="00710FE4" w:rsidRDefault="00710FE4" w:rsidP="00710FE4">
      <w:pPr>
        <w:spacing w:line="500" w:lineRule="exact"/>
        <w:ind w:left="-4" w:firstLineChars="200" w:firstLine="492"/>
        <w:rPr>
          <w:rFonts w:ascii="宋体" w:eastAsia="宋体" w:hAnsi="宋体" w:cs="Times New Roman" w:hint="eastAsia"/>
          <w:color w:val="FF0000"/>
          <w:spacing w:val="3"/>
          <w:kern w:val="0"/>
          <w:sz w:val="24"/>
          <w:szCs w:val="24"/>
        </w:rPr>
      </w:pPr>
      <w:r w:rsidRPr="00710FE4">
        <w:rPr>
          <w:rFonts w:ascii="宋体" w:eastAsia="宋体" w:hAnsi="宋体" w:cs="Times New Roman" w:hint="eastAsia"/>
          <w:color w:val="FF0000"/>
          <w:spacing w:val="3"/>
          <w:kern w:val="0"/>
          <w:sz w:val="24"/>
          <w:szCs w:val="24"/>
        </w:rPr>
        <w:t>*中标后，若中标单位为安徽省内工商行政主管部门注册的土地估价机构,须承诺在一个月内在安徽省自然资源</w:t>
      </w:r>
      <w:proofErr w:type="gramStart"/>
      <w:r w:rsidRPr="00710FE4">
        <w:rPr>
          <w:rFonts w:ascii="宋体" w:eastAsia="宋体" w:hAnsi="宋体" w:cs="Times New Roman" w:hint="eastAsia"/>
          <w:color w:val="FF0000"/>
          <w:spacing w:val="3"/>
          <w:kern w:val="0"/>
          <w:sz w:val="24"/>
          <w:szCs w:val="24"/>
        </w:rPr>
        <w:t>厅取得</w:t>
      </w:r>
      <w:proofErr w:type="gramEnd"/>
      <w:r w:rsidRPr="00710FE4">
        <w:rPr>
          <w:rFonts w:ascii="宋体" w:eastAsia="宋体" w:hAnsi="宋体" w:cs="Times New Roman" w:hint="eastAsia"/>
          <w:color w:val="FF0000"/>
          <w:spacing w:val="3"/>
          <w:kern w:val="0"/>
          <w:sz w:val="24"/>
          <w:szCs w:val="24"/>
        </w:rPr>
        <w:t>备案函，否则取消中标资格；若中标单位为安徽省</w:t>
      </w:r>
      <w:proofErr w:type="gramStart"/>
      <w:r w:rsidRPr="00710FE4">
        <w:rPr>
          <w:rFonts w:ascii="宋体" w:eastAsia="宋体" w:hAnsi="宋体" w:cs="Times New Roman" w:hint="eastAsia"/>
          <w:color w:val="FF0000"/>
          <w:spacing w:val="3"/>
          <w:kern w:val="0"/>
          <w:sz w:val="24"/>
          <w:szCs w:val="24"/>
        </w:rPr>
        <w:t>外工商</w:t>
      </w:r>
      <w:proofErr w:type="gramEnd"/>
      <w:r w:rsidRPr="00710FE4">
        <w:rPr>
          <w:rFonts w:ascii="宋体" w:eastAsia="宋体" w:hAnsi="宋体" w:cs="Times New Roman" w:hint="eastAsia"/>
          <w:color w:val="FF0000"/>
          <w:spacing w:val="3"/>
          <w:kern w:val="0"/>
          <w:sz w:val="24"/>
          <w:szCs w:val="24"/>
        </w:rPr>
        <w:t>行政主管部门注册的土地估价机构，须承诺取得设区市级以上政府土地行政主管部门的备案函，还须承诺在一个月内在安徽省设有分公司，有独立经营场所（以本省营业执照为准）。（提供承诺函加盖公章放入投标文件中）</w:t>
      </w:r>
    </w:p>
    <w:p w14:paraId="07BE8345"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r w:rsidRPr="00710FE4">
        <w:rPr>
          <w:rFonts w:ascii="宋体" w:eastAsia="宋体" w:hAnsi="宋体" w:cs="Times New Roman" w:hint="eastAsia"/>
          <w:spacing w:val="3"/>
          <w:kern w:val="0"/>
          <w:sz w:val="24"/>
          <w:szCs w:val="24"/>
        </w:rPr>
        <w:t>一、评估机构数量</w:t>
      </w:r>
    </w:p>
    <w:p w14:paraId="32BEA73D"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r w:rsidRPr="00710FE4">
        <w:rPr>
          <w:rFonts w:ascii="宋体" w:eastAsia="宋体" w:hAnsi="宋体" w:cs="Times New Roman" w:hint="eastAsia"/>
          <w:spacing w:val="3"/>
          <w:kern w:val="0"/>
          <w:sz w:val="24"/>
          <w:szCs w:val="24"/>
        </w:rPr>
        <w:t>根据我市土地市场实际情况，需招标5-12家土地评估机构从事执业。</w:t>
      </w:r>
    </w:p>
    <w:p w14:paraId="57229957"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r w:rsidRPr="00710FE4">
        <w:rPr>
          <w:rFonts w:ascii="宋体" w:eastAsia="宋体" w:hAnsi="宋体" w:cs="Times New Roman" w:hint="eastAsia"/>
          <w:spacing w:val="3"/>
          <w:kern w:val="0"/>
          <w:sz w:val="24"/>
          <w:szCs w:val="24"/>
        </w:rPr>
        <w:t>二、评估内容</w:t>
      </w:r>
    </w:p>
    <w:p w14:paraId="656171B3"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bookmarkStart w:id="0" w:name="_Hlk59032385"/>
      <w:r w:rsidRPr="00710FE4">
        <w:rPr>
          <w:rFonts w:ascii="宋体" w:eastAsia="宋体" w:hAnsi="宋体" w:cs="Times New Roman" w:hint="eastAsia"/>
          <w:spacing w:val="3"/>
          <w:kern w:val="0"/>
          <w:sz w:val="24"/>
          <w:szCs w:val="24"/>
        </w:rPr>
        <w:t>1、挂牌拍卖出让起始价评估、协议出让价格评估、划拨土地使用权补办出让手续补缴出让金评估、已出让土地调整容积率补缴出让金评估，已出让土地调整用途补缴出让金评估，其他情况需评估补缴出让金的；</w:t>
      </w:r>
    </w:p>
    <w:p w14:paraId="6653CAB9"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r w:rsidRPr="00710FE4">
        <w:rPr>
          <w:rFonts w:ascii="宋体" w:eastAsia="宋体" w:hAnsi="宋体" w:cs="Times New Roman" w:hint="eastAsia"/>
          <w:spacing w:val="3"/>
          <w:kern w:val="0"/>
          <w:sz w:val="24"/>
          <w:szCs w:val="24"/>
        </w:rPr>
        <w:t>2、对补缴出让金价格评估报告进行审查，抽取第三家评估机构对另两家评估公司出具的补缴出让金价格评估报告进行审查，审查评估程序是否合</w:t>
      </w:r>
      <w:proofErr w:type="gramStart"/>
      <w:r w:rsidRPr="00710FE4">
        <w:rPr>
          <w:rFonts w:ascii="宋体" w:eastAsia="宋体" w:hAnsi="宋体" w:cs="Times New Roman" w:hint="eastAsia"/>
          <w:spacing w:val="3"/>
          <w:kern w:val="0"/>
          <w:sz w:val="24"/>
          <w:szCs w:val="24"/>
        </w:rPr>
        <w:t>规</w:t>
      </w:r>
      <w:proofErr w:type="gramEnd"/>
      <w:r w:rsidRPr="00710FE4">
        <w:rPr>
          <w:rFonts w:ascii="宋体" w:eastAsia="宋体" w:hAnsi="宋体" w:cs="Times New Roman" w:hint="eastAsia"/>
          <w:spacing w:val="3"/>
          <w:kern w:val="0"/>
          <w:sz w:val="24"/>
          <w:szCs w:val="24"/>
        </w:rPr>
        <w:t>，评估方法的选用是否科学有效，评估报告中的各种数据的来源、参数的选取是否真实、正确以及评估报告的完整性等方面进行审核，并出具审查意见。</w:t>
      </w:r>
    </w:p>
    <w:p w14:paraId="37950E39"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r w:rsidRPr="00710FE4">
        <w:rPr>
          <w:rFonts w:ascii="宋体" w:eastAsia="宋体" w:hAnsi="宋体" w:cs="Times New Roman" w:hint="eastAsia"/>
          <w:spacing w:val="3"/>
          <w:kern w:val="0"/>
          <w:sz w:val="24"/>
          <w:szCs w:val="24"/>
        </w:rPr>
        <w:t>3、其他相关土地评估。</w:t>
      </w:r>
    </w:p>
    <w:bookmarkEnd w:id="0"/>
    <w:p w14:paraId="6C4F7393"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r w:rsidRPr="00710FE4">
        <w:rPr>
          <w:rFonts w:ascii="宋体" w:eastAsia="宋体" w:hAnsi="宋体" w:cs="Times New Roman" w:hint="eastAsia"/>
          <w:spacing w:val="3"/>
          <w:kern w:val="0"/>
          <w:sz w:val="24"/>
          <w:szCs w:val="24"/>
        </w:rPr>
        <w:t>三、评估费用报价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3153"/>
        <w:gridCol w:w="3119"/>
        <w:gridCol w:w="2544"/>
      </w:tblGrid>
      <w:tr w:rsidR="00710FE4" w:rsidRPr="00710FE4" w14:paraId="0E3D3A85" w14:textId="77777777" w:rsidTr="00495346">
        <w:trPr>
          <w:trHeight w:val="198"/>
          <w:jc w:val="center"/>
        </w:trPr>
        <w:tc>
          <w:tcPr>
            <w:tcW w:w="925" w:type="dxa"/>
            <w:vAlign w:val="center"/>
          </w:tcPr>
          <w:p w14:paraId="3F11CA8F"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序号</w:t>
            </w:r>
          </w:p>
        </w:tc>
        <w:tc>
          <w:tcPr>
            <w:tcW w:w="3153" w:type="dxa"/>
            <w:vAlign w:val="center"/>
          </w:tcPr>
          <w:p w14:paraId="2894A90A"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报价区间</w:t>
            </w:r>
          </w:p>
        </w:tc>
        <w:tc>
          <w:tcPr>
            <w:tcW w:w="3119" w:type="dxa"/>
            <w:vAlign w:val="center"/>
          </w:tcPr>
          <w:p w14:paraId="6A25BD58"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报价费率</w:t>
            </w:r>
          </w:p>
        </w:tc>
        <w:tc>
          <w:tcPr>
            <w:tcW w:w="2544" w:type="dxa"/>
            <w:vAlign w:val="center"/>
          </w:tcPr>
          <w:p w14:paraId="44DDDB92"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备注</w:t>
            </w:r>
          </w:p>
        </w:tc>
      </w:tr>
      <w:tr w:rsidR="00710FE4" w:rsidRPr="00710FE4" w14:paraId="68639971" w14:textId="77777777" w:rsidTr="00495346">
        <w:trPr>
          <w:trHeight w:val="487"/>
          <w:jc w:val="center"/>
        </w:trPr>
        <w:tc>
          <w:tcPr>
            <w:tcW w:w="925" w:type="dxa"/>
            <w:vAlign w:val="bottom"/>
          </w:tcPr>
          <w:p w14:paraId="5DFAC8EC"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1</w:t>
            </w:r>
          </w:p>
        </w:tc>
        <w:tc>
          <w:tcPr>
            <w:tcW w:w="3153" w:type="dxa"/>
            <w:vAlign w:val="bottom"/>
          </w:tcPr>
          <w:p w14:paraId="78FADFF2"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200万元以下(含200万元)</w:t>
            </w:r>
          </w:p>
        </w:tc>
        <w:tc>
          <w:tcPr>
            <w:tcW w:w="3119" w:type="dxa"/>
            <w:vAlign w:val="bottom"/>
          </w:tcPr>
          <w:p w14:paraId="4B6E3B6D"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每个项目按1000元支付计算</w:t>
            </w:r>
          </w:p>
        </w:tc>
        <w:tc>
          <w:tcPr>
            <w:tcW w:w="2544" w:type="dxa"/>
            <w:vMerge w:val="restart"/>
            <w:vAlign w:val="center"/>
          </w:tcPr>
          <w:p w14:paraId="5EEAAFD2" w14:textId="77777777" w:rsidR="00710FE4" w:rsidRPr="00710FE4" w:rsidRDefault="00710FE4" w:rsidP="00710FE4">
            <w:pPr>
              <w:adjustRightInd w:val="0"/>
              <w:snapToGrid w:val="0"/>
              <w:spacing w:line="360" w:lineRule="auto"/>
              <w:rPr>
                <w:rFonts w:ascii="宋体" w:eastAsia="宋体" w:hAnsi="宋体" w:cs="宋体" w:hint="eastAsia"/>
                <w:sz w:val="22"/>
              </w:rPr>
            </w:pPr>
            <w:r w:rsidRPr="00710FE4">
              <w:rPr>
                <w:rFonts w:ascii="宋体" w:eastAsia="宋体" w:hAnsi="宋体" w:cs="宋体" w:hint="eastAsia"/>
                <w:sz w:val="22"/>
              </w:rPr>
              <w:t>以10000万元为例：</w:t>
            </w:r>
          </w:p>
          <w:p w14:paraId="6C67E25A" w14:textId="77777777" w:rsidR="00710FE4" w:rsidRPr="00710FE4" w:rsidRDefault="00710FE4" w:rsidP="00710FE4">
            <w:pPr>
              <w:adjustRightInd w:val="0"/>
              <w:snapToGrid w:val="0"/>
              <w:spacing w:line="360" w:lineRule="auto"/>
              <w:jc w:val="left"/>
              <w:rPr>
                <w:rFonts w:ascii="宋体" w:eastAsia="宋体" w:hAnsi="宋体" w:cs="宋体" w:hint="eastAsia"/>
                <w:sz w:val="22"/>
              </w:rPr>
            </w:pPr>
            <w:r w:rsidRPr="00710FE4">
              <w:rPr>
                <w:rFonts w:ascii="宋体" w:eastAsia="宋体" w:hAnsi="宋体" w:cs="宋体" w:hint="eastAsia"/>
                <w:sz w:val="22"/>
              </w:rPr>
              <w:t>最高限价=1000+(1000-200)×Y1+(2000-1000)×Y2+(5000-2000)×Y3+(10000-5000)×Y4</w:t>
            </w:r>
          </w:p>
        </w:tc>
      </w:tr>
      <w:tr w:rsidR="00710FE4" w:rsidRPr="00710FE4" w14:paraId="3EE94A1F" w14:textId="77777777" w:rsidTr="00495346">
        <w:trPr>
          <w:trHeight w:val="351"/>
          <w:jc w:val="center"/>
        </w:trPr>
        <w:tc>
          <w:tcPr>
            <w:tcW w:w="925" w:type="dxa"/>
            <w:vAlign w:val="bottom"/>
          </w:tcPr>
          <w:p w14:paraId="500282E7"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2</w:t>
            </w:r>
          </w:p>
        </w:tc>
        <w:tc>
          <w:tcPr>
            <w:tcW w:w="3153" w:type="dxa"/>
            <w:vAlign w:val="bottom"/>
          </w:tcPr>
          <w:p w14:paraId="0B64C59E"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200万元以上-1000万元以下</w:t>
            </w:r>
          </w:p>
        </w:tc>
        <w:tc>
          <w:tcPr>
            <w:tcW w:w="3119" w:type="dxa"/>
            <w:vAlign w:val="bottom"/>
          </w:tcPr>
          <w:p w14:paraId="33FDEEE1"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Y1</w:t>
            </w:r>
          </w:p>
        </w:tc>
        <w:tc>
          <w:tcPr>
            <w:tcW w:w="2544" w:type="dxa"/>
            <w:vMerge/>
          </w:tcPr>
          <w:p w14:paraId="2FC1F539" w14:textId="77777777" w:rsidR="00710FE4" w:rsidRPr="00710FE4" w:rsidRDefault="00710FE4" w:rsidP="00710FE4">
            <w:pPr>
              <w:adjustRightInd w:val="0"/>
              <w:snapToGrid w:val="0"/>
              <w:spacing w:line="360" w:lineRule="auto"/>
              <w:rPr>
                <w:rFonts w:ascii="宋体" w:eastAsia="宋体" w:hAnsi="宋体" w:cs="宋体" w:hint="eastAsia"/>
                <w:sz w:val="22"/>
              </w:rPr>
            </w:pPr>
          </w:p>
        </w:tc>
      </w:tr>
      <w:tr w:rsidR="00710FE4" w:rsidRPr="00710FE4" w14:paraId="10F61FEF" w14:textId="77777777" w:rsidTr="00495346">
        <w:trPr>
          <w:trHeight w:val="429"/>
          <w:jc w:val="center"/>
        </w:trPr>
        <w:tc>
          <w:tcPr>
            <w:tcW w:w="925" w:type="dxa"/>
            <w:vAlign w:val="bottom"/>
          </w:tcPr>
          <w:p w14:paraId="16CD6CDE"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3</w:t>
            </w:r>
          </w:p>
        </w:tc>
        <w:tc>
          <w:tcPr>
            <w:tcW w:w="3153" w:type="dxa"/>
            <w:vAlign w:val="bottom"/>
          </w:tcPr>
          <w:p w14:paraId="61D63FD0"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1000万元以上-2000万元以下</w:t>
            </w:r>
          </w:p>
        </w:tc>
        <w:tc>
          <w:tcPr>
            <w:tcW w:w="3119" w:type="dxa"/>
            <w:vAlign w:val="bottom"/>
          </w:tcPr>
          <w:p w14:paraId="735AED1F"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Y2</w:t>
            </w:r>
          </w:p>
        </w:tc>
        <w:tc>
          <w:tcPr>
            <w:tcW w:w="2544" w:type="dxa"/>
            <w:vMerge/>
          </w:tcPr>
          <w:p w14:paraId="0247A0F2" w14:textId="77777777" w:rsidR="00710FE4" w:rsidRPr="00710FE4" w:rsidRDefault="00710FE4" w:rsidP="00710FE4">
            <w:pPr>
              <w:adjustRightInd w:val="0"/>
              <w:snapToGrid w:val="0"/>
              <w:spacing w:line="360" w:lineRule="auto"/>
              <w:rPr>
                <w:rFonts w:ascii="宋体" w:eastAsia="宋体" w:hAnsi="宋体" w:cs="宋体" w:hint="eastAsia"/>
                <w:sz w:val="22"/>
              </w:rPr>
            </w:pPr>
          </w:p>
        </w:tc>
      </w:tr>
      <w:tr w:rsidR="00710FE4" w:rsidRPr="00710FE4" w14:paraId="4663062B" w14:textId="77777777" w:rsidTr="00495346">
        <w:trPr>
          <w:trHeight w:val="521"/>
          <w:jc w:val="center"/>
        </w:trPr>
        <w:tc>
          <w:tcPr>
            <w:tcW w:w="925" w:type="dxa"/>
            <w:vAlign w:val="bottom"/>
          </w:tcPr>
          <w:p w14:paraId="4D33DA42"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4</w:t>
            </w:r>
          </w:p>
        </w:tc>
        <w:tc>
          <w:tcPr>
            <w:tcW w:w="3153" w:type="dxa"/>
            <w:vAlign w:val="bottom"/>
          </w:tcPr>
          <w:p w14:paraId="5948FCED"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2000万元以上-5000万元以下</w:t>
            </w:r>
          </w:p>
        </w:tc>
        <w:tc>
          <w:tcPr>
            <w:tcW w:w="3119" w:type="dxa"/>
            <w:vAlign w:val="bottom"/>
          </w:tcPr>
          <w:p w14:paraId="601BFFF7"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Y3</w:t>
            </w:r>
          </w:p>
        </w:tc>
        <w:tc>
          <w:tcPr>
            <w:tcW w:w="2544" w:type="dxa"/>
            <w:vMerge/>
          </w:tcPr>
          <w:p w14:paraId="2D3787D7" w14:textId="77777777" w:rsidR="00710FE4" w:rsidRPr="00710FE4" w:rsidRDefault="00710FE4" w:rsidP="00710FE4">
            <w:pPr>
              <w:adjustRightInd w:val="0"/>
              <w:snapToGrid w:val="0"/>
              <w:spacing w:line="360" w:lineRule="auto"/>
              <w:rPr>
                <w:rFonts w:ascii="宋体" w:eastAsia="宋体" w:hAnsi="宋体" w:cs="宋体" w:hint="eastAsia"/>
                <w:sz w:val="22"/>
              </w:rPr>
            </w:pPr>
          </w:p>
        </w:tc>
      </w:tr>
      <w:tr w:rsidR="00710FE4" w:rsidRPr="00710FE4" w14:paraId="756C058F" w14:textId="77777777" w:rsidTr="00495346">
        <w:trPr>
          <w:trHeight w:val="568"/>
          <w:jc w:val="center"/>
        </w:trPr>
        <w:tc>
          <w:tcPr>
            <w:tcW w:w="925" w:type="dxa"/>
            <w:vAlign w:val="bottom"/>
          </w:tcPr>
          <w:p w14:paraId="5FF068E6"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5</w:t>
            </w:r>
          </w:p>
        </w:tc>
        <w:tc>
          <w:tcPr>
            <w:tcW w:w="3153" w:type="dxa"/>
            <w:vAlign w:val="bottom"/>
          </w:tcPr>
          <w:p w14:paraId="24F5321F"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5000万元以上-10000万元以下</w:t>
            </w:r>
          </w:p>
        </w:tc>
        <w:tc>
          <w:tcPr>
            <w:tcW w:w="3119" w:type="dxa"/>
            <w:vAlign w:val="bottom"/>
          </w:tcPr>
          <w:p w14:paraId="6D909EAF"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Y4</w:t>
            </w:r>
          </w:p>
        </w:tc>
        <w:tc>
          <w:tcPr>
            <w:tcW w:w="2544" w:type="dxa"/>
            <w:vMerge/>
          </w:tcPr>
          <w:p w14:paraId="60248E18" w14:textId="77777777" w:rsidR="00710FE4" w:rsidRPr="00710FE4" w:rsidRDefault="00710FE4" w:rsidP="00710FE4">
            <w:pPr>
              <w:adjustRightInd w:val="0"/>
              <w:snapToGrid w:val="0"/>
              <w:spacing w:line="360" w:lineRule="auto"/>
              <w:rPr>
                <w:rFonts w:ascii="宋体" w:eastAsia="宋体" w:hAnsi="宋体" w:cs="宋体" w:hint="eastAsia"/>
                <w:sz w:val="22"/>
              </w:rPr>
            </w:pPr>
          </w:p>
        </w:tc>
      </w:tr>
      <w:tr w:rsidR="00710FE4" w:rsidRPr="00710FE4" w14:paraId="3F79118A" w14:textId="77777777" w:rsidTr="00495346">
        <w:trPr>
          <w:trHeight w:val="462"/>
          <w:jc w:val="center"/>
        </w:trPr>
        <w:tc>
          <w:tcPr>
            <w:tcW w:w="925" w:type="dxa"/>
            <w:vAlign w:val="bottom"/>
          </w:tcPr>
          <w:p w14:paraId="4C1E2CCB"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6</w:t>
            </w:r>
          </w:p>
        </w:tc>
        <w:tc>
          <w:tcPr>
            <w:tcW w:w="3153" w:type="dxa"/>
            <w:vAlign w:val="bottom"/>
          </w:tcPr>
          <w:p w14:paraId="3CA94CAD"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10000万元以上</w:t>
            </w:r>
          </w:p>
        </w:tc>
        <w:tc>
          <w:tcPr>
            <w:tcW w:w="3119" w:type="dxa"/>
            <w:vAlign w:val="bottom"/>
          </w:tcPr>
          <w:p w14:paraId="45EF5606" w14:textId="77777777" w:rsidR="00710FE4" w:rsidRPr="00710FE4" w:rsidRDefault="00710FE4" w:rsidP="00710FE4">
            <w:pPr>
              <w:adjustRightInd w:val="0"/>
              <w:snapToGrid w:val="0"/>
              <w:spacing w:line="360" w:lineRule="auto"/>
              <w:jc w:val="center"/>
              <w:rPr>
                <w:rFonts w:ascii="宋体" w:eastAsia="宋体" w:hAnsi="宋体" w:cs="宋体" w:hint="eastAsia"/>
                <w:sz w:val="22"/>
              </w:rPr>
            </w:pPr>
            <w:r w:rsidRPr="00710FE4">
              <w:rPr>
                <w:rFonts w:ascii="宋体" w:eastAsia="宋体" w:hAnsi="宋体" w:cs="宋体" w:hint="eastAsia"/>
                <w:sz w:val="22"/>
              </w:rPr>
              <w:t>Y5</w:t>
            </w:r>
          </w:p>
        </w:tc>
        <w:tc>
          <w:tcPr>
            <w:tcW w:w="2544" w:type="dxa"/>
            <w:vMerge/>
          </w:tcPr>
          <w:p w14:paraId="09C40178" w14:textId="77777777" w:rsidR="00710FE4" w:rsidRPr="00710FE4" w:rsidRDefault="00710FE4" w:rsidP="00710FE4">
            <w:pPr>
              <w:adjustRightInd w:val="0"/>
              <w:snapToGrid w:val="0"/>
              <w:spacing w:line="360" w:lineRule="auto"/>
              <w:rPr>
                <w:rFonts w:ascii="宋体" w:eastAsia="宋体" w:hAnsi="宋体" w:cs="宋体" w:hint="eastAsia"/>
                <w:sz w:val="22"/>
              </w:rPr>
            </w:pPr>
          </w:p>
        </w:tc>
      </w:tr>
    </w:tbl>
    <w:p w14:paraId="22A2B6C6"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bookmarkStart w:id="1" w:name="_Hlk47682424"/>
      <w:r w:rsidRPr="00710FE4">
        <w:rPr>
          <w:rFonts w:ascii="宋体" w:eastAsia="宋体" w:hAnsi="宋体" w:cs="Times New Roman" w:hint="eastAsia"/>
          <w:spacing w:val="3"/>
          <w:kern w:val="0"/>
          <w:sz w:val="24"/>
          <w:szCs w:val="24"/>
        </w:rPr>
        <w:t>最低评估价格1000元/宗，最高评估价格不超过12000元/宗</w:t>
      </w:r>
      <w:bookmarkEnd w:id="1"/>
      <w:r w:rsidRPr="00710FE4">
        <w:rPr>
          <w:rFonts w:ascii="宋体" w:eastAsia="宋体" w:hAnsi="宋体" w:cs="Times New Roman" w:hint="eastAsia"/>
          <w:spacing w:val="3"/>
          <w:kern w:val="0"/>
          <w:sz w:val="24"/>
          <w:szCs w:val="24"/>
        </w:rPr>
        <w:t>，评估费用按照差额累进计算，最终按各中标单位平均报价为准；土地评估审查费用按</w:t>
      </w:r>
      <w:r w:rsidRPr="00710FE4">
        <w:rPr>
          <w:rFonts w:ascii="宋体" w:eastAsia="宋体" w:hAnsi="宋体" w:cs="Times New Roman" w:hint="eastAsia"/>
          <w:spacing w:val="3"/>
          <w:kern w:val="0"/>
          <w:sz w:val="24"/>
          <w:szCs w:val="24"/>
        </w:rPr>
        <w:lastRenderedPageBreak/>
        <w:t>1000元/宗。评估费用已纳入我局每年的年度预算中。</w:t>
      </w:r>
    </w:p>
    <w:p w14:paraId="574A8306" w14:textId="77777777" w:rsidR="00710FE4" w:rsidRPr="00710FE4" w:rsidRDefault="00710FE4" w:rsidP="00710FE4">
      <w:pPr>
        <w:spacing w:line="500" w:lineRule="exact"/>
        <w:ind w:left="-4" w:firstLineChars="200" w:firstLine="492"/>
        <w:rPr>
          <w:rFonts w:ascii="宋体" w:eastAsia="宋体" w:hAnsi="宋体" w:cs="Times New Roman" w:hint="eastAsia"/>
          <w:color w:val="FF0000"/>
          <w:spacing w:val="3"/>
          <w:kern w:val="0"/>
          <w:sz w:val="24"/>
          <w:szCs w:val="24"/>
        </w:rPr>
      </w:pPr>
      <w:r w:rsidRPr="00710FE4">
        <w:rPr>
          <w:rFonts w:ascii="宋体" w:eastAsia="宋体" w:hAnsi="宋体" w:cs="Times New Roman" w:hint="eastAsia"/>
          <w:color w:val="FF0000"/>
          <w:spacing w:val="3"/>
          <w:kern w:val="0"/>
          <w:sz w:val="24"/>
          <w:szCs w:val="24"/>
        </w:rPr>
        <w:t>*投标单位须承诺，中标后，在合同履约期间成为土地评估审核单位时不得拒绝，</w:t>
      </w:r>
      <w:proofErr w:type="gramStart"/>
      <w:r w:rsidRPr="00710FE4">
        <w:rPr>
          <w:rFonts w:ascii="宋体" w:eastAsia="宋体" w:hAnsi="宋体" w:cs="Times New Roman" w:hint="eastAsia"/>
          <w:color w:val="FF0000"/>
          <w:spacing w:val="3"/>
          <w:kern w:val="0"/>
          <w:sz w:val="24"/>
          <w:szCs w:val="24"/>
        </w:rPr>
        <w:t>且按照按</w:t>
      </w:r>
      <w:proofErr w:type="gramEnd"/>
      <w:r w:rsidRPr="00710FE4">
        <w:rPr>
          <w:rFonts w:ascii="宋体" w:eastAsia="宋体" w:hAnsi="宋体" w:cs="Times New Roman" w:hint="eastAsia"/>
          <w:color w:val="FF0000"/>
          <w:spacing w:val="3"/>
          <w:kern w:val="0"/>
          <w:sz w:val="24"/>
          <w:szCs w:val="24"/>
        </w:rPr>
        <w:t>1000元/宗收取费用，</w:t>
      </w:r>
      <w:proofErr w:type="gramStart"/>
      <w:r w:rsidRPr="00710FE4">
        <w:rPr>
          <w:rFonts w:ascii="宋体" w:eastAsia="宋体" w:hAnsi="宋体" w:cs="Times New Roman" w:hint="eastAsia"/>
          <w:color w:val="FF0000"/>
          <w:spacing w:val="3"/>
          <w:kern w:val="0"/>
          <w:sz w:val="24"/>
          <w:szCs w:val="24"/>
        </w:rPr>
        <w:t>若拒接土地</w:t>
      </w:r>
      <w:proofErr w:type="gramEnd"/>
      <w:r w:rsidRPr="00710FE4">
        <w:rPr>
          <w:rFonts w:ascii="宋体" w:eastAsia="宋体" w:hAnsi="宋体" w:cs="Times New Roman" w:hint="eastAsia"/>
          <w:color w:val="FF0000"/>
          <w:spacing w:val="3"/>
          <w:kern w:val="0"/>
          <w:sz w:val="24"/>
          <w:szCs w:val="24"/>
        </w:rPr>
        <w:t>评估审核工作，则招标人有权解除合同，提供承诺函加盖公章放入投标文件中。</w:t>
      </w:r>
    </w:p>
    <w:p w14:paraId="609166C1"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r w:rsidRPr="00710FE4">
        <w:rPr>
          <w:rFonts w:ascii="宋体" w:eastAsia="宋体" w:hAnsi="宋体" w:cs="Times New Roman" w:hint="eastAsia"/>
          <w:spacing w:val="3"/>
          <w:kern w:val="0"/>
          <w:sz w:val="24"/>
          <w:szCs w:val="24"/>
        </w:rPr>
        <w:t>四、评估机构评估履行的期限</w:t>
      </w:r>
    </w:p>
    <w:p w14:paraId="451FD154" w14:textId="77777777" w:rsidR="00710FE4" w:rsidRPr="00710FE4" w:rsidRDefault="00710FE4" w:rsidP="00710FE4">
      <w:pPr>
        <w:spacing w:line="500" w:lineRule="exact"/>
        <w:ind w:left="-4" w:firstLineChars="200" w:firstLine="492"/>
        <w:rPr>
          <w:rFonts w:ascii="宋体" w:eastAsia="宋体" w:hAnsi="宋体" w:cs="Times New Roman" w:hint="eastAsia"/>
          <w:spacing w:val="3"/>
          <w:kern w:val="0"/>
          <w:sz w:val="24"/>
          <w:szCs w:val="24"/>
        </w:rPr>
      </w:pPr>
      <w:r w:rsidRPr="00710FE4">
        <w:rPr>
          <w:rFonts w:ascii="宋体" w:eastAsia="宋体" w:hAnsi="宋体" w:cs="Times New Roman" w:hint="eastAsia"/>
          <w:spacing w:val="3"/>
          <w:kern w:val="0"/>
          <w:sz w:val="24"/>
          <w:szCs w:val="24"/>
        </w:rPr>
        <w:t>履约时间为两年（合同签订之日起开始计算）</w:t>
      </w:r>
    </w:p>
    <w:p w14:paraId="70AE6DD6" w14:textId="77777777" w:rsidR="00710FE4" w:rsidRPr="00710FE4" w:rsidRDefault="00710FE4" w:rsidP="00710FE4">
      <w:pPr>
        <w:spacing w:line="440" w:lineRule="exact"/>
        <w:rPr>
          <w:rFonts w:ascii="宋体" w:eastAsia="宋体" w:hAnsi="宋体" w:cs="Times New Roman" w:hint="eastAsia"/>
          <w:kern w:val="0"/>
          <w:sz w:val="24"/>
          <w:szCs w:val="24"/>
          <w:lang w:val="en-US" w:eastAsia="zh-CN"/>
        </w:rPr>
      </w:pPr>
      <w:r w:rsidRPr="00710FE4">
        <w:rPr>
          <w:rFonts w:ascii="宋体" w:eastAsia="宋体" w:hAnsi="宋体" w:cs="Times New Roman" w:hint="eastAsia"/>
          <w:kern w:val="0"/>
          <w:sz w:val="24"/>
          <w:szCs w:val="24"/>
          <w:lang w:val="en-US" w:eastAsia="zh-CN"/>
        </w:rPr>
        <w:t>注：标有“*”的参数为实质性参数，必须满足，否则，其投标无效。</w:t>
      </w:r>
    </w:p>
    <w:p w14:paraId="6EB8A147" w14:textId="77777777" w:rsidR="00710FE4" w:rsidRPr="00710FE4" w:rsidRDefault="00710FE4" w:rsidP="00710FE4">
      <w:pPr>
        <w:rPr>
          <w:rFonts w:ascii="Times New Roman" w:eastAsia="Times New Roman" w:hAnsi="Times New Roman" w:cs="Times New Roman" w:hint="eastAsia"/>
          <w:kern w:val="0"/>
          <w:sz w:val="24"/>
          <w:szCs w:val="24"/>
          <w:highlight w:val="white"/>
          <w:lang w:val="en-US" w:eastAsia="zh-CN"/>
        </w:rPr>
      </w:pPr>
    </w:p>
    <w:p w14:paraId="3C10086B" w14:textId="77777777" w:rsidR="00710FE4" w:rsidRPr="00710FE4" w:rsidRDefault="00710FE4" w:rsidP="00710FE4">
      <w:pPr>
        <w:rPr>
          <w:rFonts w:ascii="Times New Roman" w:eastAsia="Times New Roman" w:hAnsi="Times New Roman" w:cs="Times New Roman" w:hint="eastAsia"/>
          <w:kern w:val="0"/>
          <w:sz w:val="24"/>
          <w:szCs w:val="24"/>
          <w:highlight w:val="white"/>
          <w:lang w:val="en-US" w:eastAsia="zh-CN"/>
        </w:rPr>
      </w:pPr>
    </w:p>
    <w:p w14:paraId="726BDB8C" w14:textId="77777777" w:rsidR="00D25ACD" w:rsidRDefault="00D25ACD">
      <w:pPr>
        <w:rPr>
          <w:lang w:eastAsia="zh-CN"/>
        </w:rPr>
      </w:pPr>
    </w:p>
    <w:sectPr w:rsidR="00D25A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BCBD" w14:textId="77777777" w:rsidR="00252939" w:rsidRDefault="00252939" w:rsidP="00710FE4">
      <w:r>
        <w:separator/>
      </w:r>
    </w:p>
  </w:endnote>
  <w:endnote w:type="continuationSeparator" w:id="0">
    <w:p w14:paraId="49C24BB0" w14:textId="77777777" w:rsidR="00252939" w:rsidRDefault="00252939" w:rsidP="007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9C2A1" w14:textId="77777777" w:rsidR="00252939" w:rsidRDefault="00252939" w:rsidP="00710FE4">
      <w:r>
        <w:separator/>
      </w:r>
    </w:p>
  </w:footnote>
  <w:footnote w:type="continuationSeparator" w:id="0">
    <w:p w14:paraId="21122378" w14:textId="77777777" w:rsidR="00252939" w:rsidRDefault="00252939" w:rsidP="00710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CD"/>
    <w:rsid w:val="00252939"/>
    <w:rsid w:val="00710FE4"/>
    <w:rsid w:val="00D2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5F3EA"/>
  <w15:chartTrackingRefBased/>
  <w15:docId w15:val="{BE2D38F7-3E9D-48F2-B71F-AD23F47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F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0FE4"/>
    <w:rPr>
      <w:sz w:val="18"/>
      <w:szCs w:val="18"/>
    </w:rPr>
  </w:style>
  <w:style w:type="paragraph" w:styleId="a5">
    <w:name w:val="footer"/>
    <w:basedOn w:val="a"/>
    <w:link w:val="a6"/>
    <w:uiPriority w:val="99"/>
    <w:unhideWhenUsed/>
    <w:rsid w:val="00710FE4"/>
    <w:pPr>
      <w:tabs>
        <w:tab w:val="center" w:pos="4153"/>
        <w:tab w:val="right" w:pos="8306"/>
      </w:tabs>
      <w:snapToGrid w:val="0"/>
      <w:jc w:val="left"/>
    </w:pPr>
    <w:rPr>
      <w:sz w:val="18"/>
      <w:szCs w:val="18"/>
    </w:rPr>
  </w:style>
  <w:style w:type="character" w:customStyle="1" w:styleId="a6">
    <w:name w:val="页脚 字符"/>
    <w:basedOn w:val="a0"/>
    <w:link w:val="a5"/>
    <w:uiPriority w:val="99"/>
    <w:rsid w:val="00710F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丽 王</dc:creator>
  <cp:keywords/>
  <dc:description/>
  <cp:lastModifiedBy>丽 王</cp:lastModifiedBy>
  <cp:revision>2</cp:revision>
  <dcterms:created xsi:type="dcterms:W3CDTF">2020-12-18T04:39:00Z</dcterms:created>
  <dcterms:modified xsi:type="dcterms:W3CDTF">2020-12-18T04:40:00Z</dcterms:modified>
</cp:coreProperties>
</file>